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AFC6C" w14:textId="77777777" w:rsidR="00C15334" w:rsidRDefault="00C15334" w:rsidP="00C15334">
      <w:pPr>
        <w:spacing w:before="100" w:beforeAutospacing="1" w:after="100" w:afterAutospacing="1" w:line="240" w:lineRule="auto"/>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Cenu aptauja/tirgus izpēte</w:t>
      </w:r>
    </w:p>
    <w:p w14:paraId="42129945" w14:textId="28001FA4" w:rsidR="00C15334" w:rsidRDefault="00C15334" w:rsidP="00DC3DA2">
      <w:pPr>
        <w:jc w:val="both"/>
        <w:rPr>
          <w:rFonts w:ascii="Times New Roman" w:hAnsi="Times New Roman" w:cs="Times New Roman"/>
          <w:b/>
          <w:sz w:val="24"/>
          <w:szCs w:val="24"/>
        </w:rPr>
      </w:pPr>
      <w:r>
        <w:rPr>
          <w:rFonts w:ascii="Times New Roman" w:hAnsi="Times New Roman" w:cs="Times New Roman"/>
          <w:b/>
          <w:sz w:val="24"/>
          <w:szCs w:val="24"/>
        </w:rPr>
        <w:t>“Revīzijas pakalpojumu veikšana un zvērināta atzinuma sniegšana 2023. gada pārskatam”</w:t>
      </w:r>
    </w:p>
    <w:p w14:paraId="5E8EC455" w14:textId="7142C705" w:rsidR="00C15334" w:rsidRDefault="00C15334" w:rsidP="00DC3DA2">
      <w:pPr>
        <w:spacing w:after="0" w:line="240" w:lineRule="auto"/>
        <w:jc w:val="both"/>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Identifikācijas Nr. RNK/1/1/2024</w:t>
      </w:r>
    </w:p>
    <w:p w14:paraId="260EC9AC" w14:textId="77777777" w:rsidR="00C15334" w:rsidRDefault="00C15334" w:rsidP="00DC3DA2">
      <w:pPr>
        <w:spacing w:after="0" w:line="240" w:lineRule="auto"/>
        <w:jc w:val="both"/>
        <w:rPr>
          <w:rFonts w:ascii="Times New Roman" w:eastAsia="Times New Roman" w:hAnsi="Times New Roman" w:cs="Times New Roman"/>
          <w:sz w:val="24"/>
          <w:szCs w:val="24"/>
          <w:lang w:eastAsia="lv-LV"/>
        </w:rPr>
      </w:pPr>
    </w:p>
    <w:p w14:paraId="205B8854" w14:textId="522A477E" w:rsidR="00C15334" w:rsidRDefault="00C15334" w:rsidP="00DC3DA2">
      <w:pPr>
        <w:jc w:val="both"/>
        <w:rPr>
          <w:rFonts w:ascii="Times New Roman" w:hAnsi="Times New Roman" w:cs="Times New Roman"/>
          <w:b/>
          <w:sz w:val="24"/>
          <w:szCs w:val="24"/>
        </w:rPr>
      </w:pPr>
      <w:r>
        <w:rPr>
          <w:rFonts w:ascii="Times New Roman" w:eastAsia="Times New Roman" w:hAnsi="Times New Roman" w:cs="Times New Roman"/>
          <w:b/>
          <w:bCs/>
          <w:sz w:val="24"/>
          <w:szCs w:val="24"/>
          <w:lang w:eastAsia="lv-LV"/>
        </w:rPr>
        <w:t xml:space="preserve">SIA "Rēzeknes novada </w:t>
      </w:r>
      <w:proofErr w:type="spellStart"/>
      <w:r>
        <w:rPr>
          <w:rFonts w:ascii="Times New Roman" w:eastAsia="Times New Roman" w:hAnsi="Times New Roman" w:cs="Times New Roman"/>
          <w:b/>
          <w:bCs/>
          <w:sz w:val="24"/>
          <w:szCs w:val="24"/>
          <w:lang w:eastAsia="lv-LV"/>
        </w:rPr>
        <w:t>komunālserviss</w:t>
      </w:r>
      <w:proofErr w:type="spellEnd"/>
      <w:r>
        <w:rPr>
          <w:rFonts w:ascii="Times New Roman" w:eastAsia="Times New Roman" w:hAnsi="Times New Roman" w:cs="Times New Roman"/>
          <w:b/>
          <w:bCs/>
          <w:sz w:val="24"/>
          <w:szCs w:val="24"/>
          <w:lang w:eastAsia="lv-LV"/>
        </w:rPr>
        <w:t>"</w:t>
      </w:r>
      <w:r>
        <w:rPr>
          <w:rFonts w:ascii="Times New Roman" w:eastAsia="Times New Roman" w:hAnsi="Times New Roman" w:cs="Times New Roman"/>
          <w:sz w:val="24"/>
          <w:szCs w:val="24"/>
          <w:lang w:eastAsia="lv-LV"/>
        </w:rPr>
        <w:t xml:space="preserve"> (reģistrācijas numurs: LV42403000932, juridiskā adrese: Parka iela 10, Malta, Maltas pagasts, Rēzeknes novads, LV-4630) izsludina cenu aptauju </w:t>
      </w:r>
      <w:r>
        <w:rPr>
          <w:rFonts w:ascii="Times New Roman" w:hAnsi="Times New Roman" w:cs="Times New Roman"/>
          <w:b/>
          <w:sz w:val="24"/>
          <w:szCs w:val="24"/>
        </w:rPr>
        <w:t xml:space="preserve">“Revīzijas pakalpojumu veikšana un zvērināta atzinuma sniegšana 2023. gada pārskatam”. </w:t>
      </w:r>
    </w:p>
    <w:p w14:paraId="7289C4DF" w14:textId="77777777" w:rsidR="00C15334" w:rsidRDefault="00C15334" w:rsidP="00C15334">
      <w:pPr>
        <w:rPr>
          <w:rFonts w:ascii="Times New Roman" w:hAnsi="Times New Roman" w:cs="Times New Roman"/>
          <w:b/>
          <w:sz w:val="24"/>
          <w:szCs w:val="24"/>
        </w:rPr>
      </w:pPr>
    </w:p>
    <w:p w14:paraId="2A528E5B" w14:textId="77777777" w:rsidR="00C15334" w:rsidRDefault="00C15334" w:rsidP="00C15334">
      <w:pPr>
        <w:rPr>
          <w:rFonts w:ascii="Times New Roman" w:hAnsi="Times New Roman" w:cs="Times New Roman"/>
          <w:sz w:val="24"/>
          <w:szCs w:val="24"/>
        </w:rPr>
      </w:pPr>
      <w:r>
        <w:rPr>
          <w:rFonts w:ascii="Times New Roman" w:hAnsi="Times New Roman" w:cs="Times New Roman"/>
          <w:b/>
          <w:sz w:val="24"/>
          <w:szCs w:val="24"/>
        </w:rPr>
        <w:t>1. Vispārējā informācija</w:t>
      </w:r>
    </w:p>
    <w:p w14:paraId="3C2C0FE7" w14:textId="0D73FF9D" w:rsidR="00C15334" w:rsidRDefault="00C15334" w:rsidP="00C15334">
      <w:pPr>
        <w:jc w:val="both"/>
        <w:rPr>
          <w:rFonts w:ascii="Times New Roman" w:hAnsi="Times New Roman" w:cs="Times New Roman"/>
          <w:sz w:val="24"/>
          <w:szCs w:val="24"/>
        </w:rPr>
      </w:pPr>
      <w:r>
        <w:rPr>
          <w:rFonts w:ascii="Times New Roman" w:hAnsi="Times New Roman" w:cs="Times New Roman"/>
          <w:sz w:val="24"/>
          <w:szCs w:val="24"/>
        </w:rPr>
        <w:t xml:space="preserve">SIA “Rēzeknes novada </w:t>
      </w:r>
      <w:proofErr w:type="spellStart"/>
      <w:r>
        <w:rPr>
          <w:rFonts w:ascii="Times New Roman" w:hAnsi="Times New Roman" w:cs="Times New Roman"/>
          <w:sz w:val="24"/>
          <w:szCs w:val="24"/>
        </w:rPr>
        <w:t>komunālserviss</w:t>
      </w:r>
      <w:proofErr w:type="spellEnd"/>
      <w:r>
        <w:rPr>
          <w:rFonts w:ascii="Times New Roman" w:hAnsi="Times New Roman" w:cs="Times New Roman"/>
          <w:sz w:val="24"/>
          <w:szCs w:val="24"/>
        </w:rPr>
        <w:t xml:space="preserve">”,  (turpmāk tekstā – kapitālsabiedrība) </w:t>
      </w:r>
      <w:r>
        <w:rPr>
          <w:rFonts w:ascii="Times New Roman" w:hAnsi="Times New Roman" w:cs="Times New Roman"/>
          <w:bCs/>
          <w:sz w:val="24"/>
          <w:szCs w:val="24"/>
        </w:rPr>
        <w:t xml:space="preserve">2023.gada </w:t>
      </w:r>
      <w:r>
        <w:rPr>
          <w:rFonts w:ascii="Times New Roman" w:hAnsi="Times New Roman" w:cs="Times New Roman"/>
          <w:sz w:val="24"/>
          <w:szCs w:val="24"/>
        </w:rPr>
        <w:t>pārskats tiks veidots par laika periodu no 01.01.2023.-31.12.2023.</w:t>
      </w:r>
    </w:p>
    <w:p w14:paraId="016AD867" w14:textId="77777777" w:rsidR="00C15334" w:rsidRPr="00DC3DA2" w:rsidRDefault="00C15334" w:rsidP="00C15334">
      <w:pPr>
        <w:autoSpaceDN w:val="0"/>
        <w:ind w:firstLine="720"/>
        <w:jc w:val="both"/>
        <w:rPr>
          <w:rFonts w:ascii="Times New Roman" w:hAnsi="Times New Roman" w:cs="Times New Roman"/>
          <w:sz w:val="24"/>
          <w:szCs w:val="24"/>
        </w:rPr>
      </w:pPr>
      <w:r w:rsidRPr="00DC3DA2">
        <w:rPr>
          <w:rFonts w:ascii="Times New Roman" w:hAnsi="Times New Roman" w:cs="Times New Roman"/>
          <w:sz w:val="24"/>
          <w:szCs w:val="24"/>
        </w:rPr>
        <w:t xml:space="preserve">Grāmatvedības uzskaiti kapitālsabiedrība nodrošina patstāvīgi. </w:t>
      </w:r>
    </w:p>
    <w:p w14:paraId="7AFCA5D4" w14:textId="203B533C" w:rsidR="00C15334" w:rsidRPr="00DC3DA2" w:rsidRDefault="00C15334" w:rsidP="00C15334">
      <w:pPr>
        <w:ind w:firstLine="720"/>
        <w:jc w:val="both"/>
        <w:rPr>
          <w:rFonts w:ascii="Times New Roman" w:hAnsi="Times New Roman" w:cs="Times New Roman"/>
          <w:sz w:val="24"/>
          <w:szCs w:val="24"/>
        </w:rPr>
      </w:pPr>
      <w:r w:rsidRPr="00DC3DA2">
        <w:rPr>
          <w:rFonts w:ascii="Times New Roman" w:hAnsi="Times New Roman" w:cs="Times New Roman"/>
          <w:sz w:val="24"/>
          <w:szCs w:val="24"/>
        </w:rPr>
        <w:t xml:space="preserve">Sabiedrības pamatkapitāls sastāv no </w:t>
      </w:r>
      <w:r w:rsidR="00DC3DA2" w:rsidRPr="00DC3DA2">
        <w:rPr>
          <w:rFonts w:ascii="Times New Roman" w:hAnsi="Times New Roman" w:cs="Times New Roman"/>
          <w:sz w:val="24"/>
          <w:szCs w:val="24"/>
        </w:rPr>
        <w:t>3163073</w:t>
      </w:r>
      <w:r w:rsidRPr="00DC3DA2">
        <w:rPr>
          <w:rFonts w:ascii="Times New Roman" w:hAnsi="Times New Roman" w:cs="Times New Roman"/>
          <w:sz w:val="24"/>
          <w:szCs w:val="24"/>
        </w:rPr>
        <w:t xml:space="preserve">  daļām, vienas daļas vērtība sastāda EUR 1, visas daļas pieder Rēzeknes novada pašvaldībai. </w:t>
      </w:r>
    </w:p>
    <w:p w14:paraId="4972C1FC" w14:textId="4386F2B2" w:rsidR="00C15334" w:rsidRDefault="00C15334" w:rsidP="00C15334">
      <w:pPr>
        <w:spacing w:after="0" w:line="240" w:lineRule="auto"/>
        <w:jc w:val="both"/>
        <w:rPr>
          <w:rFonts w:ascii="Times New Roman" w:eastAsia="Times New Roman" w:hAnsi="Times New Roman" w:cs="Times New Roman"/>
          <w:sz w:val="24"/>
          <w:szCs w:val="24"/>
          <w:lang w:eastAsia="lv-LV"/>
        </w:rPr>
      </w:pPr>
      <w:r w:rsidRPr="00DC3DA2">
        <w:rPr>
          <w:rFonts w:ascii="Times New Roman" w:eastAsia="Times New Roman" w:hAnsi="Times New Roman" w:cs="Times New Roman"/>
          <w:sz w:val="24"/>
          <w:szCs w:val="24"/>
          <w:lang w:eastAsia="lv-LV"/>
        </w:rPr>
        <w:t xml:space="preserve">Kapitālsabiedrības bilances kopsumma – </w:t>
      </w:r>
      <w:r w:rsidR="00DC3DA2" w:rsidRPr="00DC3DA2">
        <w:rPr>
          <w:rFonts w:ascii="Times New Roman" w:eastAsia="Times New Roman" w:hAnsi="Times New Roman" w:cs="Times New Roman"/>
          <w:sz w:val="24"/>
          <w:szCs w:val="24"/>
          <w:lang w:eastAsia="lv-LV"/>
        </w:rPr>
        <w:t>4046358</w:t>
      </w:r>
      <w:r w:rsidRPr="00DC3DA2">
        <w:rPr>
          <w:rFonts w:ascii="Times New Roman" w:eastAsia="Times New Roman" w:hAnsi="Times New Roman" w:cs="Times New Roman"/>
          <w:sz w:val="24"/>
          <w:szCs w:val="24"/>
          <w:lang w:eastAsia="lv-LV"/>
        </w:rPr>
        <w:t xml:space="preserve"> EUR, 202</w:t>
      </w:r>
      <w:r w:rsidR="00DC3DA2" w:rsidRPr="00DC3DA2">
        <w:rPr>
          <w:rFonts w:ascii="Times New Roman" w:eastAsia="Times New Roman" w:hAnsi="Times New Roman" w:cs="Times New Roman"/>
          <w:sz w:val="24"/>
          <w:szCs w:val="24"/>
          <w:lang w:eastAsia="lv-LV"/>
        </w:rPr>
        <w:t>2</w:t>
      </w:r>
      <w:r w:rsidRPr="00DC3DA2">
        <w:rPr>
          <w:rFonts w:ascii="Times New Roman" w:eastAsia="Times New Roman" w:hAnsi="Times New Roman" w:cs="Times New Roman"/>
          <w:sz w:val="24"/>
          <w:szCs w:val="24"/>
          <w:lang w:eastAsia="lv-LV"/>
        </w:rPr>
        <w:t xml:space="preserve">.gada neto apgrozījums – </w:t>
      </w:r>
      <w:r w:rsidR="00DC3DA2" w:rsidRPr="00DC3DA2">
        <w:rPr>
          <w:rFonts w:ascii="Times New Roman" w:eastAsia="Times New Roman" w:hAnsi="Times New Roman" w:cs="Times New Roman"/>
          <w:sz w:val="24"/>
          <w:szCs w:val="24"/>
          <w:lang w:eastAsia="lv-LV"/>
        </w:rPr>
        <w:t xml:space="preserve">963456 </w:t>
      </w:r>
      <w:r w:rsidRPr="00DC3DA2">
        <w:rPr>
          <w:rFonts w:ascii="Times New Roman" w:eastAsia="Times New Roman" w:hAnsi="Times New Roman" w:cs="Times New Roman"/>
          <w:sz w:val="24"/>
          <w:szCs w:val="24"/>
          <w:lang w:eastAsia="lv-LV"/>
        </w:rPr>
        <w:t xml:space="preserve"> EUR, darbinieku skaits – vairāk par 25 cilvēkiem.</w:t>
      </w:r>
      <w:r>
        <w:rPr>
          <w:rFonts w:ascii="Times New Roman" w:eastAsia="Times New Roman" w:hAnsi="Times New Roman" w:cs="Times New Roman"/>
          <w:sz w:val="24"/>
          <w:szCs w:val="24"/>
          <w:lang w:eastAsia="lv-LV"/>
        </w:rPr>
        <w:t xml:space="preserve"> </w:t>
      </w:r>
    </w:p>
    <w:p w14:paraId="5288AB40" w14:textId="77777777" w:rsidR="00C15334" w:rsidRDefault="00C15334" w:rsidP="00C15334">
      <w:pPr>
        <w:spacing w:after="0" w:line="240" w:lineRule="auto"/>
        <w:jc w:val="both"/>
        <w:rPr>
          <w:rFonts w:ascii="Times New Roman" w:eastAsia="Times New Roman" w:hAnsi="Times New Roman" w:cs="Times New Roman"/>
          <w:sz w:val="24"/>
          <w:szCs w:val="24"/>
          <w:lang w:eastAsia="lv-LV"/>
        </w:rPr>
      </w:pPr>
    </w:p>
    <w:p w14:paraId="601E93C2" w14:textId="77777777" w:rsidR="00C15334" w:rsidRDefault="00C15334" w:rsidP="00C15334">
      <w:pPr>
        <w:tabs>
          <w:tab w:val="left" w:pos="-4800"/>
          <w:tab w:val="left" w:pos="-4440"/>
          <w:tab w:val="left" w:pos="-4020"/>
        </w:tabs>
        <w:autoSpaceDN w:val="0"/>
        <w:jc w:val="both"/>
        <w:textAlignment w:val="baseline"/>
        <w:rPr>
          <w:rFonts w:ascii="Times New Roman" w:hAnsi="Times New Roman" w:cs="Times New Roman"/>
          <w:b/>
          <w:sz w:val="24"/>
          <w:szCs w:val="24"/>
        </w:rPr>
      </w:pPr>
      <w:r>
        <w:rPr>
          <w:rFonts w:ascii="Times New Roman" w:hAnsi="Times New Roman" w:cs="Times New Roman"/>
          <w:b/>
          <w:sz w:val="24"/>
          <w:szCs w:val="24"/>
        </w:rPr>
        <w:t xml:space="preserve">2. Cenu aptaujas mērķis </w:t>
      </w:r>
    </w:p>
    <w:p w14:paraId="10176DB2" w14:textId="77777777" w:rsidR="00C15334" w:rsidRDefault="00C15334" w:rsidP="00C15334">
      <w:pPr>
        <w:ind w:firstLine="720"/>
        <w:jc w:val="both"/>
        <w:rPr>
          <w:rFonts w:ascii="Times New Roman" w:hAnsi="Times New Roman" w:cs="Times New Roman"/>
          <w:sz w:val="24"/>
          <w:szCs w:val="24"/>
        </w:rPr>
      </w:pPr>
      <w:r>
        <w:rPr>
          <w:rFonts w:ascii="Times New Roman" w:hAnsi="Times New Roman" w:cs="Times New Roman"/>
          <w:sz w:val="24"/>
          <w:szCs w:val="24"/>
        </w:rPr>
        <w:t xml:space="preserve">Cenu aptauja paredz, ka pretendents sniedz  kapitālsabiedrības gada pārskata revīzijas pakalpojumus, pildot </w:t>
      </w:r>
      <w:r>
        <w:rPr>
          <w:rFonts w:ascii="Times New Roman" w:hAnsi="Times New Roman" w:cs="Times New Roman"/>
          <w:bCs/>
          <w:color w:val="414142"/>
          <w:sz w:val="24"/>
          <w:szCs w:val="24"/>
        </w:rPr>
        <w:t xml:space="preserve">Gada pārskatu </w:t>
      </w:r>
      <w:r>
        <w:rPr>
          <w:rFonts w:ascii="Times New Roman" w:hAnsi="Times New Roman" w:cs="Times New Roman"/>
          <w:bCs/>
          <w:sz w:val="24"/>
          <w:szCs w:val="24"/>
        </w:rPr>
        <w:t xml:space="preserve">un </w:t>
      </w:r>
      <w:hyperlink r:id="rId5" w:history="1">
        <w:r>
          <w:rPr>
            <w:rStyle w:val="Hyperlink"/>
            <w:rFonts w:ascii="Times New Roman" w:hAnsi="Times New Roman" w:cs="Times New Roman"/>
            <w:bCs/>
            <w:color w:val="auto"/>
            <w:sz w:val="24"/>
            <w:szCs w:val="24"/>
            <w:u w:val="none"/>
          </w:rPr>
          <w:t>konsolidēto gada pārskatu likuma</w:t>
        </w:r>
      </w:hyperlink>
      <w:r>
        <w:rPr>
          <w:rFonts w:ascii="Times New Roman" w:hAnsi="Times New Roman" w:cs="Times New Roman"/>
          <w:sz w:val="24"/>
          <w:szCs w:val="24"/>
        </w:rPr>
        <w:t>, Komerclikuma un citu normatīvo aktu prasības.</w:t>
      </w:r>
    </w:p>
    <w:p w14:paraId="6DD7EE93" w14:textId="77777777" w:rsidR="00C15334" w:rsidRDefault="00C15334" w:rsidP="00C15334">
      <w:pPr>
        <w:ind w:firstLine="720"/>
        <w:jc w:val="both"/>
        <w:rPr>
          <w:rFonts w:ascii="Times New Roman" w:hAnsi="Times New Roman" w:cs="Times New Roman"/>
          <w:sz w:val="24"/>
          <w:szCs w:val="24"/>
        </w:rPr>
      </w:pPr>
      <w:r>
        <w:rPr>
          <w:rFonts w:ascii="Times New Roman" w:hAnsi="Times New Roman" w:cs="Times New Roman"/>
          <w:sz w:val="24"/>
          <w:szCs w:val="24"/>
        </w:rPr>
        <w:t>Revīzijas pakalpojumi tiek sniegti atbilstoši likumam “Par zvērinātiem revidentiem”, Gada pārskatu un konsolidēto gada pārskatu likumam, Komerclikumam, Profesionālās ētikas kodeksa normām, ievērojot Latvijā atzīto starptautisko revīzijas standartu prasības.</w:t>
      </w:r>
    </w:p>
    <w:p w14:paraId="0FE85DFD" w14:textId="0DC50E1D" w:rsidR="00C15334" w:rsidRDefault="00C15334" w:rsidP="00C15334">
      <w:pPr>
        <w:ind w:firstLine="720"/>
        <w:jc w:val="both"/>
        <w:rPr>
          <w:rFonts w:ascii="Times New Roman" w:hAnsi="Times New Roman" w:cs="Times New Roman"/>
          <w:sz w:val="24"/>
          <w:szCs w:val="24"/>
        </w:rPr>
      </w:pPr>
      <w:r>
        <w:rPr>
          <w:rFonts w:ascii="Times New Roman" w:hAnsi="Times New Roman" w:cs="Times New Roman"/>
          <w:sz w:val="24"/>
          <w:szCs w:val="24"/>
        </w:rPr>
        <w:t xml:space="preserve">Revīzijas pakalpojuma gala rezultāts ir zvērināta revidenta ziņojuma ar atzinumu un ziņojuma vadībai par  SIA “Rēzeknes novada </w:t>
      </w:r>
      <w:proofErr w:type="spellStart"/>
      <w:r>
        <w:rPr>
          <w:rFonts w:ascii="Times New Roman" w:hAnsi="Times New Roman" w:cs="Times New Roman"/>
          <w:sz w:val="24"/>
          <w:szCs w:val="24"/>
        </w:rPr>
        <w:t>komunālserviss</w:t>
      </w:r>
      <w:proofErr w:type="spellEnd"/>
      <w:r>
        <w:rPr>
          <w:rFonts w:ascii="Times New Roman" w:hAnsi="Times New Roman" w:cs="Times New Roman"/>
          <w:sz w:val="24"/>
          <w:szCs w:val="24"/>
        </w:rPr>
        <w:t>”,  2023.gada pārskatu iesniegšana.</w:t>
      </w:r>
    </w:p>
    <w:p w14:paraId="606A6BA1" w14:textId="77777777" w:rsidR="00C15334" w:rsidRDefault="00C15334" w:rsidP="00C15334">
      <w:pPr>
        <w:spacing w:before="240" w:after="240"/>
        <w:jc w:val="both"/>
        <w:rPr>
          <w:rFonts w:ascii="Times New Roman" w:hAnsi="Times New Roman" w:cs="Times New Roman"/>
          <w:b/>
          <w:sz w:val="24"/>
          <w:szCs w:val="24"/>
        </w:rPr>
      </w:pPr>
      <w:r>
        <w:rPr>
          <w:rFonts w:ascii="Times New Roman" w:hAnsi="Times New Roman" w:cs="Times New Roman"/>
          <w:b/>
          <w:sz w:val="24"/>
          <w:szCs w:val="24"/>
        </w:rPr>
        <w:t>3. Darba uzdevums</w:t>
      </w:r>
    </w:p>
    <w:p w14:paraId="6DAFEC95" w14:textId="73715033" w:rsidR="00C15334" w:rsidRDefault="00C15334" w:rsidP="00C15334">
      <w:pPr>
        <w:jc w:val="both"/>
        <w:rPr>
          <w:rFonts w:ascii="Times New Roman" w:hAnsi="Times New Roman" w:cs="Times New Roman"/>
          <w:sz w:val="24"/>
          <w:szCs w:val="24"/>
        </w:rPr>
      </w:pPr>
      <w:r>
        <w:rPr>
          <w:rFonts w:ascii="Times New Roman" w:hAnsi="Times New Roman" w:cs="Times New Roman"/>
          <w:sz w:val="24"/>
          <w:szCs w:val="24"/>
        </w:rPr>
        <w:t xml:space="preserve">SIA “Rēzeknes novada </w:t>
      </w:r>
      <w:proofErr w:type="spellStart"/>
      <w:r>
        <w:rPr>
          <w:rFonts w:ascii="Times New Roman" w:hAnsi="Times New Roman" w:cs="Times New Roman"/>
          <w:sz w:val="24"/>
          <w:szCs w:val="24"/>
        </w:rPr>
        <w:t>komunālserviss</w:t>
      </w:r>
      <w:proofErr w:type="spellEnd"/>
      <w:r>
        <w:rPr>
          <w:rFonts w:ascii="Times New Roman" w:hAnsi="Times New Roman" w:cs="Times New Roman"/>
          <w:sz w:val="24"/>
          <w:szCs w:val="24"/>
        </w:rPr>
        <w:t>” gada pārskata revīzijas veikšana, noslēgumā sniedzot ziņojumu ar atzinumu par kapitālsabiedrības 2023.gada pārskatu.</w:t>
      </w:r>
    </w:p>
    <w:p w14:paraId="1113FBF4" w14:textId="77777777" w:rsidR="00C15334" w:rsidRDefault="00C15334" w:rsidP="00C15334">
      <w:pPr>
        <w:ind w:firstLine="720"/>
        <w:jc w:val="both"/>
        <w:rPr>
          <w:rFonts w:ascii="Times New Roman" w:hAnsi="Times New Roman" w:cs="Times New Roman"/>
          <w:sz w:val="24"/>
          <w:szCs w:val="24"/>
        </w:rPr>
      </w:pPr>
      <w:r>
        <w:rPr>
          <w:rFonts w:ascii="Times New Roman" w:hAnsi="Times New Roman" w:cs="Times New Roman"/>
          <w:sz w:val="24"/>
          <w:szCs w:val="24"/>
        </w:rPr>
        <w:t>Zvērināta revidenta ziņojuma vadībai sniegšana, kurā atspoguļo revīzijas laikā atklāto, kā arī sniedz rekomendācijas par uzlabojumiem, ja tādi būs nepieciešami. Ziņojums vadībai jāsniedz arī tad, kad gada pārskatā būtiskas nepilnības nav atklātas. Ziņojums vadībai jāsniedz pēc starpposma un noslēguma revīzijas veikšanas.</w:t>
      </w:r>
    </w:p>
    <w:p w14:paraId="46B581CD" w14:textId="7D2AE5B6" w:rsidR="00C15334" w:rsidRDefault="00C15334" w:rsidP="00C15334">
      <w:pPr>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Konsultēt  kapitālsabiedrības grāmatvedi 2023.gada pārskata sagatavošanas jautājumos, kā arī nepieciešamības gadījumā konsultēt vispārējos grāmatvedības jautājumos līguma darbības laikā. </w:t>
      </w:r>
    </w:p>
    <w:p w14:paraId="3C417E39" w14:textId="77777777" w:rsidR="00C15334" w:rsidRDefault="00C15334" w:rsidP="00C15334">
      <w:pPr>
        <w:ind w:firstLine="720"/>
        <w:jc w:val="both"/>
        <w:rPr>
          <w:rFonts w:ascii="Times New Roman" w:eastAsia="DutchTL" w:hAnsi="Times New Roman" w:cs="Times New Roman"/>
          <w:sz w:val="24"/>
          <w:szCs w:val="24"/>
        </w:rPr>
      </w:pPr>
      <w:r>
        <w:rPr>
          <w:rFonts w:ascii="Times New Roman" w:eastAsia="DutchTL" w:hAnsi="Times New Roman" w:cs="Times New Roman"/>
          <w:sz w:val="24"/>
          <w:szCs w:val="24"/>
        </w:rPr>
        <w:t>Revīzijas veikšanas laiks un saturs iepriekš jāsaskaņo ar kapitālsabiedrības valdes locekli un kapitālsabiedrības atbildīgajiem darbiniekiem.</w:t>
      </w:r>
    </w:p>
    <w:p w14:paraId="37942800" w14:textId="77777777" w:rsidR="00C15334" w:rsidRDefault="00C15334" w:rsidP="00C15334">
      <w:pPr>
        <w:ind w:firstLine="720"/>
        <w:jc w:val="both"/>
        <w:rPr>
          <w:rFonts w:ascii="Times New Roman" w:eastAsia="DutchTL" w:hAnsi="Times New Roman" w:cs="Times New Roman"/>
          <w:sz w:val="24"/>
          <w:szCs w:val="24"/>
        </w:rPr>
      </w:pPr>
      <w:r>
        <w:rPr>
          <w:rFonts w:ascii="Times New Roman" w:eastAsia="DutchTL" w:hAnsi="Times New Roman" w:cs="Times New Roman"/>
          <w:sz w:val="24"/>
          <w:szCs w:val="24"/>
        </w:rPr>
        <w:t>Revidents iesaista Līguma izpildē personālu, kuru tas norādījis  iesniegtajā piedāvājumā.</w:t>
      </w:r>
    </w:p>
    <w:p w14:paraId="49CF52EE" w14:textId="77777777" w:rsidR="00C15334" w:rsidRDefault="00C15334" w:rsidP="00C15334">
      <w:pPr>
        <w:spacing w:before="240" w:after="240"/>
        <w:jc w:val="both"/>
        <w:rPr>
          <w:rFonts w:ascii="Times New Roman" w:eastAsia="Times New Roman" w:hAnsi="Times New Roman" w:cs="Times New Roman"/>
          <w:b/>
          <w:sz w:val="24"/>
          <w:szCs w:val="24"/>
        </w:rPr>
      </w:pPr>
      <w:r>
        <w:rPr>
          <w:rFonts w:ascii="Times New Roman" w:hAnsi="Times New Roman" w:cs="Times New Roman"/>
          <w:b/>
          <w:sz w:val="24"/>
          <w:szCs w:val="24"/>
        </w:rPr>
        <w:t>3.1. Darbu veikšanas termiņi</w:t>
      </w:r>
    </w:p>
    <w:p w14:paraId="31AD4084" w14:textId="77777777" w:rsidR="00C15334" w:rsidRDefault="00C15334" w:rsidP="00C15334">
      <w:pPr>
        <w:jc w:val="both"/>
        <w:rPr>
          <w:rFonts w:ascii="Times New Roman" w:hAnsi="Times New Roman" w:cs="Times New Roman"/>
          <w:sz w:val="24"/>
          <w:szCs w:val="24"/>
        </w:rPr>
      </w:pPr>
      <w:r>
        <w:rPr>
          <w:rFonts w:ascii="Times New Roman" w:hAnsi="Times New Roman" w:cs="Times New Roman"/>
          <w:sz w:val="24"/>
          <w:szCs w:val="24"/>
        </w:rPr>
        <w:tab/>
        <w:t>Gada pārskata revīzijas pakalpojums jāveic atbilstoši saskaņotam revīzijas darba grafikam, kurā noteikti divi galvenie posmi:</w:t>
      </w:r>
    </w:p>
    <w:p w14:paraId="5E90C970" w14:textId="1F13DEC4" w:rsidR="00C15334" w:rsidRPr="00DC3DA2" w:rsidRDefault="00C15334" w:rsidP="00C15334">
      <w:pPr>
        <w:numPr>
          <w:ilvl w:val="0"/>
          <w:numId w:val="1"/>
        </w:numPr>
        <w:suppressAutoHyphens/>
        <w:autoSpaceDN w:val="0"/>
        <w:spacing w:after="0" w:line="240" w:lineRule="auto"/>
        <w:jc w:val="both"/>
        <w:textAlignment w:val="baseline"/>
        <w:rPr>
          <w:rFonts w:ascii="Times New Roman" w:hAnsi="Times New Roman" w:cs="Times New Roman"/>
          <w:sz w:val="24"/>
          <w:szCs w:val="24"/>
        </w:rPr>
      </w:pPr>
      <w:r w:rsidRPr="00DC3DA2">
        <w:rPr>
          <w:rFonts w:ascii="Times New Roman" w:eastAsia="DutchTL" w:hAnsi="Times New Roman" w:cs="Times New Roman"/>
          <w:sz w:val="24"/>
          <w:szCs w:val="24"/>
        </w:rPr>
        <w:t xml:space="preserve">starpposma revīzija (kapitālsabiedrību grāmatvedības uzskaites un iekšējās kontroles procedūru novērtēšana, starpposma revīzijas ziņojuma iesniegšana par kapitālsabiedrību) tiek veikta laikā no </w:t>
      </w:r>
      <w:r w:rsidR="00DC3DA2" w:rsidRPr="00DC3DA2">
        <w:rPr>
          <w:rFonts w:ascii="Times New Roman" w:eastAsia="DutchTL" w:hAnsi="Times New Roman" w:cs="Times New Roman"/>
          <w:b/>
          <w:sz w:val="24"/>
          <w:szCs w:val="24"/>
        </w:rPr>
        <w:t>februāra</w:t>
      </w:r>
      <w:r w:rsidRPr="00DC3DA2">
        <w:rPr>
          <w:rFonts w:ascii="Times New Roman" w:eastAsia="DutchTL" w:hAnsi="Times New Roman" w:cs="Times New Roman"/>
          <w:b/>
          <w:sz w:val="24"/>
          <w:szCs w:val="24"/>
        </w:rPr>
        <w:t xml:space="preserve">  līdz </w:t>
      </w:r>
      <w:r w:rsidR="00DC3DA2" w:rsidRPr="00DC3DA2">
        <w:rPr>
          <w:rFonts w:ascii="Times New Roman" w:eastAsia="DutchTL" w:hAnsi="Times New Roman" w:cs="Times New Roman"/>
          <w:b/>
          <w:sz w:val="24"/>
          <w:szCs w:val="24"/>
        </w:rPr>
        <w:t>martam</w:t>
      </w:r>
      <w:r w:rsidRPr="00DC3DA2">
        <w:rPr>
          <w:rFonts w:ascii="Times New Roman" w:eastAsia="DutchTL" w:hAnsi="Times New Roman" w:cs="Times New Roman"/>
          <w:b/>
          <w:sz w:val="24"/>
          <w:szCs w:val="24"/>
        </w:rPr>
        <w:t xml:space="preserve"> (ieskaitot).</w:t>
      </w:r>
    </w:p>
    <w:p w14:paraId="738CC472" w14:textId="2F6BA531" w:rsidR="00C15334" w:rsidRPr="00DC3DA2" w:rsidRDefault="00C15334" w:rsidP="00C15334">
      <w:pPr>
        <w:numPr>
          <w:ilvl w:val="0"/>
          <w:numId w:val="1"/>
        </w:numPr>
        <w:suppressAutoHyphens/>
        <w:autoSpaceDN w:val="0"/>
        <w:spacing w:after="0" w:line="240" w:lineRule="auto"/>
        <w:jc w:val="both"/>
        <w:textAlignment w:val="baseline"/>
        <w:rPr>
          <w:rFonts w:ascii="Times New Roman" w:hAnsi="Times New Roman" w:cs="Times New Roman"/>
          <w:sz w:val="24"/>
          <w:szCs w:val="24"/>
        </w:rPr>
      </w:pPr>
      <w:r w:rsidRPr="00DC3DA2">
        <w:rPr>
          <w:rFonts w:ascii="Times New Roman" w:eastAsia="DutchTL" w:hAnsi="Times New Roman" w:cs="Times New Roman"/>
          <w:sz w:val="24"/>
          <w:szCs w:val="24"/>
        </w:rPr>
        <w:t xml:space="preserve">noslēguma revīzija (gada pārskata revīzija, zvērināta revidenta ziņojuma ar atzinumu un ziņojuma vadībai iesniegšana tiek pabeigta līdz </w:t>
      </w:r>
      <w:r w:rsidR="00DC3DA2" w:rsidRPr="00DC3DA2">
        <w:rPr>
          <w:rFonts w:ascii="Times New Roman" w:eastAsia="DutchTL" w:hAnsi="Times New Roman" w:cs="Times New Roman"/>
          <w:sz w:val="24"/>
          <w:szCs w:val="24"/>
        </w:rPr>
        <w:t>1</w:t>
      </w:r>
      <w:r w:rsidRPr="00DC3DA2">
        <w:rPr>
          <w:rFonts w:ascii="Times New Roman" w:eastAsia="DutchTL" w:hAnsi="Times New Roman" w:cs="Times New Roman"/>
          <w:b/>
          <w:sz w:val="24"/>
          <w:szCs w:val="24"/>
        </w:rPr>
        <w:t>5.aprīlim (ieskaitot)</w:t>
      </w:r>
      <w:r w:rsidRPr="00DC3DA2">
        <w:rPr>
          <w:rFonts w:ascii="Times New Roman" w:eastAsia="DutchTL" w:hAnsi="Times New Roman" w:cs="Times New Roman"/>
          <w:sz w:val="24"/>
          <w:szCs w:val="24"/>
        </w:rPr>
        <w:t xml:space="preserve">. </w:t>
      </w:r>
    </w:p>
    <w:p w14:paraId="7A5945CB" w14:textId="77777777" w:rsidR="00C15334" w:rsidRPr="00DC3DA2" w:rsidRDefault="00C15334" w:rsidP="00C15334">
      <w:pPr>
        <w:ind w:firstLine="709"/>
        <w:jc w:val="both"/>
        <w:rPr>
          <w:rFonts w:ascii="Times New Roman" w:eastAsia="DutchTL" w:hAnsi="Times New Roman" w:cs="Times New Roman"/>
          <w:sz w:val="24"/>
          <w:szCs w:val="24"/>
        </w:rPr>
      </w:pPr>
      <w:r w:rsidRPr="00DC3DA2">
        <w:rPr>
          <w:rFonts w:ascii="Times New Roman" w:eastAsia="DutchTL" w:hAnsi="Times New Roman" w:cs="Times New Roman"/>
          <w:sz w:val="24"/>
          <w:szCs w:val="24"/>
        </w:rPr>
        <w:t>Pārbaudes veikšanas laiki un saturs iepriekš saskaņojams ar  kapitālsabiedrības valdes locekli.</w:t>
      </w:r>
    </w:p>
    <w:p w14:paraId="4DD76AAA" w14:textId="77777777" w:rsidR="00C15334" w:rsidRPr="00DC3DA2" w:rsidRDefault="00C15334" w:rsidP="00C15334">
      <w:pPr>
        <w:autoSpaceDE w:val="0"/>
        <w:ind w:firstLine="709"/>
        <w:jc w:val="both"/>
        <w:rPr>
          <w:rFonts w:ascii="Times New Roman" w:eastAsia="DutchTL" w:hAnsi="Times New Roman" w:cs="Times New Roman"/>
          <w:sz w:val="24"/>
          <w:szCs w:val="24"/>
        </w:rPr>
      </w:pPr>
      <w:r w:rsidRPr="00DC3DA2">
        <w:rPr>
          <w:rFonts w:ascii="Times New Roman" w:eastAsia="DutchTL" w:hAnsi="Times New Roman" w:cs="Times New Roman"/>
          <w:sz w:val="24"/>
          <w:szCs w:val="24"/>
        </w:rPr>
        <w:t xml:space="preserve">Pirms Zvērināta revidenta ziņojuma par gada pārskatu iesniegšanu, ar ziņojuma projekta saturu jāiepazīstina kapitālsabiedrības valdes loceklis. </w:t>
      </w:r>
    </w:p>
    <w:p w14:paraId="5C23E794" w14:textId="3BE0CFBF" w:rsidR="00C15334" w:rsidRPr="00DC3DA2" w:rsidRDefault="00C15334" w:rsidP="00C15334">
      <w:pPr>
        <w:autoSpaceDE w:val="0"/>
        <w:ind w:firstLine="709"/>
        <w:jc w:val="both"/>
        <w:rPr>
          <w:rFonts w:ascii="Times New Roman" w:eastAsia="DutchTL" w:hAnsi="Times New Roman" w:cs="Times New Roman"/>
          <w:sz w:val="24"/>
          <w:szCs w:val="24"/>
        </w:rPr>
      </w:pPr>
      <w:r w:rsidRPr="00DC3DA2">
        <w:rPr>
          <w:rFonts w:ascii="Times New Roman" w:eastAsia="DutchTL" w:hAnsi="Times New Roman" w:cs="Times New Roman"/>
          <w:sz w:val="24"/>
          <w:szCs w:val="24"/>
        </w:rPr>
        <w:t xml:space="preserve">Ziņojumu ar atzinumu par kapitālsabiedrības gada pārskatu un zvērināta revidenta ziņojumu vadībai  jāiesniedz ne vēlāk kā līdz pārskata gadam sekojošā gada </w:t>
      </w:r>
      <w:r w:rsidRPr="00DC3DA2">
        <w:rPr>
          <w:rFonts w:ascii="Times New Roman" w:eastAsia="DutchTL" w:hAnsi="Times New Roman" w:cs="Times New Roman"/>
          <w:b/>
          <w:sz w:val="24"/>
          <w:szCs w:val="24"/>
        </w:rPr>
        <w:t>1</w:t>
      </w:r>
      <w:r w:rsidR="00DC3DA2" w:rsidRPr="00DC3DA2">
        <w:rPr>
          <w:rFonts w:ascii="Times New Roman" w:eastAsia="DutchTL" w:hAnsi="Times New Roman" w:cs="Times New Roman"/>
          <w:b/>
          <w:sz w:val="24"/>
          <w:szCs w:val="24"/>
        </w:rPr>
        <w:t>5</w:t>
      </w:r>
      <w:r w:rsidRPr="00DC3DA2">
        <w:rPr>
          <w:rFonts w:ascii="Times New Roman" w:eastAsia="DutchTL" w:hAnsi="Times New Roman" w:cs="Times New Roman"/>
          <w:b/>
          <w:sz w:val="24"/>
          <w:szCs w:val="24"/>
        </w:rPr>
        <w:t>.aprīlim (ieskaitot)</w:t>
      </w:r>
      <w:r w:rsidRPr="00DC3DA2">
        <w:rPr>
          <w:rFonts w:ascii="Times New Roman" w:eastAsia="DutchTL" w:hAnsi="Times New Roman" w:cs="Times New Roman"/>
          <w:sz w:val="24"/>
          <w:szCs w:val="24"/>
        </w:rPr>
        <w:t xml:space="preserve">. </w:t>
      </w:r>
    </w:p>
    <w:p w14:paraId="68780137" w14:textId="77777777" w:rsidR="00C15334" w:rsidRDefault="00C15334" w:rsidP="00C15334">
      <w:pPr>
        <w:spacing w:before="240" w:after="240"/>
        <w:jc w:val="both"/>
        <w:rPr>
          <w:rFonts w:ascii="Times New Roman" w:eastAsia="Times New Roman" w:hAnsi="Times New Roman" w:cs="Times New Roman"/>
          <w:b/>
          <w:sz w:val="24"/>
          <w:szCs w:val="24"/>
        </w:rPr>
      </w:pPr>
      <w:r w:rsidRPr="00DC3DA2">
        <w:rPr>
          <w:rFonts w:ascii="Times New Roman" w:hAnsi="Times New Roman" w:cs="Times New Roman"/>
          <w:b/>
          <w:sz w:val="24"/>
          <w:szCs w:val="24"/>
        </w:rPr>
        <w:t>3.2. Pienākumi un atbildība</w:t>
      </w:r>
    </w:p>
    <w:p w14:paraId="5ED37CC3" w14:textId="77777777" w:rsidR="00C15334" w:rsidRDefault="00C15334" w:rsidP="00C15334">
      <w:pPr>
        <w:jc w:val="both"/>
        <w:rPr>
          <w:rFonts w:ascii="Times New Roman" w:hAnsi="Times New Roman" w:cs="Times New Roman"/>
          <w:sz w:val="24"/>
          <w:szCs w:val="24"/>
        </w:rPr>
      </w:pPr>
      <w:r>
        <w:rPr>
          <w:rFonts w:ascii="Times New Roman" w:hAnsi="Times New Roman" w:cs="Times New Roman"/>
          <w:sz w:val="24"/>
          <w:szCs w:val="24"/>
        </w:rPr>
        <w:tab/>
        <w:t>Revīzija tiek veikta kapitālsabiedrības telpās. Kapitālsabiedrība nodrošina pieeju visiem pieprasītajiem dokumentiem un citai nepieciešamajai informācijai.</w:t>
      </w:r>
    </w:p>
    <w:p w14:paraId="72662040" w14:textId="77777777" w:rsidR="00C15334" w:rsidRDefault="00C15334" w:rsidP="00C15334">
      <w:pPr>
        <w:autoSpaceDE w:val="0"/>
        <w:spacing w:before="5" w:line="259" w:lineRule="exact"/>
        <w:ind w:firstLine="720"/>
        <w:jc w:val="both"/>
        <w:rPr>
          <w:rFonts w:ascii="Times New Roman" w:hAnsi="Times New Roman" w:cs="Times New Roman"/>
          <w:sz w:val="24"/>
          <w:szCs w:val="24"/>
          <w:lang w:eastAsia="lv-LV"/>
        </w:rPr>
      </w:pPr>
      <w:r>
        <w:rPr>
          <w:rFonts w:ascii="Times New Roman" w:hAnsi="Times New Roman" w:cs="Times New Roman"/>
          <w:sz w:val="24"/>
          <w:szCs w:val="24"/>
          <w:lang w:eastAsia="lv-LV"/>
        </w:rPr>
        <w:t>Pēc revidenta ziņojuma saņemšanas Pasūtītājs var pieprasīt Izpildītājam sniegt tādus paskaidrojumus, kādus uzskata par nepieciešamiem, un Izpildītāja pienākums ir sniegt šādus paskaidrojumus.</w:t>
      </w:r>
    </w:p>
    <w:p w14:paraId="52F0282B" w14:textId="77777777" w:rsidR="00C15334" w:rsidRDefault="00C15334" w:rsidP="00C15334">
      <w:pPr>
        <w:autoSpaceDE w:val="0"/>
        <w:spacing w:before="10" w:line="259" w:lineRule="exact"/>
        <w:ind w:firstLine="720"/>
        <w:jc w:val="both"/>
        <w:rPr>
          <w:rFonts w:ascii="Times New Roman" w:hAnsi="Times New Roman" w:cs="Times New Roman"/>
          <w:sz w:val="24"/>
          <w:szCs w:val="24"/>
          <w:lang w:eastAsia="lv-LV"/>
        </w:rPr>
      </w:pPr>
      <w:r>
        <w:rPr>
          <w:rFonts w:ascii="Times New Roman" w:hAnsi="Times New Roman" w:cs="Times New Roman"/>
          <w:sz w:val="24"/>
          <w:szCs w:val="24"/>
          <w:lang w:eastAsia="lv-LV"/>
        </w:rPr>
        <w:t>Nozīmīgu attiecīgās likumdošanas, kura reglamentē pārskatu sagatavošanas un iesniegšanas termiņus, grozījumu rezultātā un citos pamatotos gadījumos var tikt ieviestas izmaiņas revīzijas darba grafikā, termiņos, kuri savstarpēji rakstiski saskaņojami.</w:t>
      </w:r>
    </w:p>
    <w:p w14:paraId="6241C945" w14:textId="77777777" w:rsidR="00C15334" w:rsidRDefault="00C15334" w:rsidP="00C15334">
      <w:pPr>
        <w:pStyle w:val="ListParagraph"/>
        <w:numPr>
          <w:ilvl w:val="0"/>
          <w:numId w:val="2"/>
        </w:numPr>
        <w:autoSpaceDE w:val="0"/>
        <w:autoSpaceDN w:val="0"/>
        <w:spacing w:after="0" w:line="240" w:lineRule="auto"/>
        <w:jc w:val="both"/>
        <w:rPr>
          <w:rFonts w:ascii="Times New Roman" w:hAnsi="Times New Roman" w:cs="Times New Roman"/>
          <w:b/>
          <w:sz w:val="24"/>
          <w:szCs w:val="24"/>
          <w:lang w:eastAsia="ar-SA"/>
        </w:rPr>
      </w:pPr>
      <w:r>
        <w:rPr>
          <w:rFonts w:ascii="Times New Roman" w:hAnsi="Times New Roman" w:cs="Times New Roman"/>
          <w:b/>
          <w:sz w:val="24"/>
          <w:szCs w:val="24"/>
        </w:rPr>
        <w:t>Finanšu piedāvājumu iesniegšanas prasības.</w:t>
      </w:r>
    </w:p>
    <w:p w14:paraId="10D33921" w14:textId="023FDBFA" w:rsidR="00C15334" w:rsidRDefault="00C15334" w:rsidP="00C15334">
      <w:pPr>
        <w:spacing w:before="100" w:beforeAutospacing="1" w:after="100" w:afterAutospacing="1" w:line="240" w:lineRule="auto"/>
        <w:jc w:val="both"/>
        <w:rPr>
          <w:rFonts w:ascii="Times New Roman" w:eastAsia="Times New Roman" w:hAnsi="Times New Roman" w:cs="Times New Roman"/>
          <w:sz w:val="24"/>
          <w:szCs w:val="24"/>
          <w:lang w:eastAsia="lv-LV"/>
        </w:rPr>
      </w:pPr>
      <w:r w:rsidRPr="00DC3DA2">
        <w:rPr>
          <w:rFonts w:ascii="Times New Roman" w:eastAsia="Times New Roman" w:hAnsi="Times New Roman" w:cs="Times New Roman"/>
          <w:b/>
          <w:bCs/>
          <w:sz w:val="24"/>
          <w:szCs w:val="24"/>
          <w:lang w:eastAsia="lv-LV"/>
        </w:rPr>
        <w:t>Piedāvājumu iesniegšanas termiņš – 202</w:t>
      </w:r>
      <w:r w:rsidR="00DC3DA2" w:rsidRPr="00DC3DA2">
        <w:rPr>
          <w:rFonts w:ascii="Times New Roman" w:eastAsia="Times New Roman" w:hAnsi="Times New Roman" w:cs="Times New Roman"/>
          <w:b/>
          <w:bCs/>
          <w:sz w:val="24"/>
          <w:szCs w:val="24"/>
          <w:lang w:eastAsia="lv-LV"/>
        </w:rPr>
        <w:t>4</w:t>
      </w:r>
      <w:r w:rsidRPr="00DC3DA2">
        <w:rPr>
          <w:rFonts w:ascii="Times New Roman" w:eastAsia="Times New Roman" w:hAnsi="Times New Roman" w:cs="Times New Roman"/>
          <w:b/>
          <w:bCs/>
          <w:sz w:val="24"/>
          <w:szCs w:val="24"/>
          <w:lang w:eastAsia="lv-LV"/>
        </w:rPr>
        <w:t xml:space="preserve">. gada </w:t>
      </w:r>
      <w:r w:rsidR="00DC3DA2" w:rsidRPr="00DC3DA2">
        <w:rPr>
          <w:rFonts w:ascii="Times New Roman" w:eastAsia="Times New Roman" w:hAnsi="Times New Roman" w:cs="Times New Roman"/>
          <w:b/>
          <w:bCs/>
          <w:sz w:val="24"/>
          <w:szCs w:val="24"/>
          <w:lang w:eastAsia="lv-LV"/>
        </w:rPr>
        <w:t>23. janvāris</w:t>
      </w:r>
      <w:r w:rsidRPr="00DC3DA2">
        <w:rPr>
          <w:rFonts w:ascii="Times New Roman" w:eastAsia="Times New Roman" w:hAnsi="Times New Roman" w:cs="Times New Roman"/>
          <w:b/>
          <w:bCs/>
          <w:sz w:val="24"/>
          <w:szCs w:val="24"/>
          <w:lang w:eastAsia="lv-LV"/>
        </w:rPr>
        <w:t xml:space="preserve"> līdz plkst. 11</w:t>
      </w:r>
      <w:r w:rsidRPr="00DC3DA2">
        <w:rPr>
          <w:rFonts w:ascii="Times New Roman" w:eastAsia="Times New Roman" w:hAnsi="Times New Roman" w:cs="Times New Roman"/>
          <w:b/>
          <w:bCs/>
          <w:sz w:val="24"/>
          <w:szCs w:val="24"/>
          <w:vertAlign w:val="superscript"/>
          <w:lang w:eastAsia="lv-LV"/>
        </w:rPr>
        <w:t>00</w:t>
      </w:r>
    </w:p>
    <w:p w14:paraId="12437165" w14:textId="2E2ADF0C" w:rsidR="00C15334" w:rsidRDefault="00C15334" w:rsidP="00C15334">
      <w:pPr>
        <w:spacing w:before="100" w:beforeAutospacing="1" w:after="100" w:afterAutospacing="1"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Kontaktpersona: SIA "</w:t>
      </w:r>
      <w:r w:rsidR="002745FB">
        <w:rPr>
          <w:rFonts w:ascii="Times New Roman" w:eastAsia="Times New Roman" w:hAnsi="Times New Roman" w:cs="Times New Roman"/>
          <w:sz w:val="24"/>
          <w:szCs w:val="24"/>
          <w:lang w:eastAsia="lv-LV"/>
        </w:rPr>
        <w:t xml:space="preserve">Rēzeknes novada </w:t>
      </w:r>
      <w:proofErr w:type="spellStart"/>
      <w:r w:rsidR="002745FB">
        <w:rPr>
          <w:rFonts w:ascii="Times New Roman" w:eastAsia="Times New Roman" w:hAnsi="Times New Roman" w:cs="Times New Roman"/>
          <w:sz w:val="24"/>
          <w:szCs w:val="24"/>
          <w:lang w:eastAsia="lv-LV"/>
        </w:rPr>
        <w:t>komunālserviss</w:t>
      </w:r>
      <w:proofErr w:type="spellEnd"/>
      <w:r>
        <w:rPr>
          <w:rFonts w:ascii="Times New Roman" w:eastAsia="Times New Roman" w:hAnsi="Times New Roman" w:cs="Times New Roman"/>
          <w:sz w:val="24"/>
          <w:szCs w:val="24"/>
          <w:lang w:eastAsia="lv-LV"/>
        </w:rPr>
        <w:t xml:space="preserve">" </w:t>
      </w:r>
      <w:r w:rsidR="002745FB">
        <w:rPr>
          <w:rFonts w:ascii="Times New Roman" w:eastAsia="Times New Roman" w:hAnsi="Times New Roman" w:cs="Times New Roman"/>
          <w:sz w:val="24"/>
          <w:szCs w:val="24"/>
          <w:lang w:eastAsia="lv-LV"/>
        </w:rPr>
        <w:t xml:space="preserve">galvenā </w:t>
      </w:r>
      <w:r>
        <w:rPr>
          <w:rFonts w:ascii="Times New Roman" w:eastAsia="Times New Roman" w:hAnsi="Times New Roman" w:cs="Times New Roman"/>
          <w:sz w:val="24"/>
          <w:szCs w:val="24"/>
          <w:lang w:eastAsia="lv-LV"/>
        </w:rPr>
        <w:t xml:space="preserve">grāmatvede Alla </w:t>
      </w:r>
      <w:proofErr w:type="spellStart"/>
      <w:r>
        <w:rPr>
          <w:rFonts w:ascii="Times New Roman" w:eastAsia="Times New Roman" w:hAnsi="Times New Roman" w:cs="Times New Roman"/>
          <w:sz w:val="24"/>
          <w:szCs w:val="24"/>
          <w:lang w:eastAsia="lv-LV"/>
        </w:rPr>
        <w:t>Mogiļnaja</w:t>
      </w:r>
      <w:proofErr w:type="spellEnd"/>
      <w:r>
        <w:rPr>
          <w:rFonts w:ascii="Times New Roman" w:eastAsia="Times New Roman" w:hAnsi="Times New Roman" w:cs="Times New Roman"/>
          <w:sz w:val="24"/>
          <w:szCs w:val="24"/>
          <w:lang w:eastAsia="lv-LV"/>
        </w:rPr>
        <w:t>, tālr. 26 109 997</w:t>
      </w:r>
    </w:p>
    <w:p w14:paraId="4061F154" w14:textId="60F806ED" w:rsidR="00C15334" w:rsidRDefault="00C15334" w:rsidP="00C15334">
      <w:pPr>
        <w:spacing w:before="100" w:beforeAutospacing="1" w:after="100" w:afterAutospacing="1"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Piedāvājumus var iesniegt: personīgi SIA "</w:t>
      </w:r>
      <w:r w:rsidR="002745FB">
        <w:rPr>
          <w:rFonts w:ascii="Times New Roman" w:eastAsia="Times New Roman" w:hAnsi="Times New Roman" w:cs="Times New Roman"/>
          <w:sz w:val="24"/>
          <w:szCs w:val="24"/>
          <w:lang w:eastAsia="lv-LV"/>
        </w:rPr>
        <w:t xml:space="preserve">Rēzeknes novada </w:t>
      </w:r>
      <w:proofErr w:type="spellStart"/>
      <w:r w:rsidR="002745FB">
        <w:rPr>
          <w:rFonts w:ascii="Times New Roman" w:eastAsia="Times New Roman" w:hAnsi="Times New Roman" w:cs="Times New Roman"/>
          <w:sz w:val="24"/>
          <w:szCs w:val="24"/>
          <w:lang w:eastAsia="lv-LV"/>
        </w:rPr>
        <w:t>komunālserviss</w:t>
      </w:r>
      <w:proofErr w:type="spellEnd"/>
      <w:r>
        <w:rPr>
          <w:rFonts w:ascii="Times New Roman" w:eastAsia="Times New Roman" w:hAnsi="Times New Roman" w:cs="Times New Roman"/>
          <w:sz w:val="24"/>
          <w:szCs w:val="24"/>
          <w:lang w:eastAsia="lv-LV"/>
        </w:rPr>
        <w:t xml:space="preserve">" biroja adresē Brīvības ielā 6,Malta, Maltas pagasts, Rēzeknes novadā, kab. Nr. 10, vai nosūtot piedāvājumu </w:t>
      </w:r>
      <w:r>
        <w:rPr>
          <w:rFonts w:ascii="Times New Roman" w:eastAsia="Times New Roman" w:hAnsi="Times New Roman" w:cs="Times New Roman"/>
          <w:sz w:val="24"/>
          <w:szCs w:val="24"/>
          <w:lang w:eastAsia="lv-LV"/>
        </w:rPr>
        <w:lastRenderedPageBreak/>
        <w:t>elektroniski parakstītu  uz e-past</w:t>
      </w:r>
      <w:r w:rsidR="002745FB">
        <w:rPr>
          <w:rFonts w:ascii="Times New Roman" w:eastAsia="Times New Roman" w:hAnsi="Times New Roman" w:cs="Times New Roman"/>
          <w:sz w:val="24"/>
          <w:szCs w:val="24"/>
          <w:lang w:eastAsia="lv-LV"/>
        </w:rPr>
        <w:t xml:space="preserve">u </w:t>
      </w:r>
      <w:hyperlink r:id="rId6" w:history="1">
        <w:r w:rsidR="002745FB" w:rsidRPr="004A2135">
          <w:rPr>
            <w:rStyle w:val="Hyperlink"/>
            <w:rFonts w:ascii="Times New Roman" w:eastAsia="Times New Roman" w:hAnsi="Times New Roman" w:cs="Times New Roman"/>
            <w:sz w:val="24"/>
            <w:szCs w:val="24"/>
            <w:lang w:eastAsia="lv-LV"/>
          </w:rPr>
          <w:t>rnk@rnk.lv</w:t>
        </w:r>
      </w:hyperlink>
      <w:r w:rsidR="002745FB">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vai arī sūtot pa pastu uz adresi: Brīvības  ielā 6, Malta, Maltas pagasts, Rēzeknes novads, LV 4630.</w:t>
      </w:r>
    </w:p>
    <w:p w14:paraId="087401DB" w14:textId="77777777" w:rsidR="00C15334" w:rsidRDefault="00C15334" w:rsidP="00C15334">
      <w:pPr>
        <w:pStyle w:val="ListParagraph"/>
        <w:numPr>
          <w:ilvl w:val="0"/>
          <w:numId w:val="2"/>
        </w:numPr>
        <w:rPr>
          <w:rFonts w:ascii="Times New Roman" w:hAnsi="Times New Roman" w:cs="Times New Roman"/>
          <w:b/>
          <w:bCs/>
          <w:sz w:val="24"/>
          <w:szCs w:val="24"/>
        </w:rPr>
      </w:pPr>
      <w:r>
        <w:rPr>
          <w:rFonts w:ascii="Times New Roman" w:hAnsi="Times New Roman" w:cs="Times New Roman"/>
          <w:b/>
          <w:bCs/>
          <w:sz w:val="24"/>
          <w:szCs w:val="24"/>
        </w:rPr>
        <w:t>Piedāvājumā lūdzam norādīt:</w:t>
      </w:r>
    </w:p>
    <w:p w14:paraId="6577D5F8" w14:textId="77777777" w:rsidR="00C15334" w:rsidRDefault="00C15334" w:rsidP="00C15334">
      <w:pPr>
        <w:pStyle w:val="ListParagraph"/>
        <w:ind w:left="1080"/>
        <w:rPr>
          <w:rFonts w:ascii="Times New Roman" w:hAnsi="Times New Roman" w:cs="Times New Roman"/>
          <w:b/>
          <w:bCs/>
          <w:sz w:val="24"/>
          <w:szCs w:val="24"/>
        </w:rPr>
      </w:pPr>
    </w:p>
    <w:p w14:paraId="415879C3" w14:textId="77777777" w:rsidR="00C15334" w:rsidRDefault="00C15334" w:rsidP="00C15334">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 Pretendenta rekvizītus – nosaukums, reģistrācijas numurs, juridiskā adrese, bankas nosaukums, konta numurs, tālruņa numurs, e-pasta adrese.</w:t>
      </w:r>
    </w:p>
    <w:p w14:paraId="7A44128A" w14:textId="2D0E92A3" w:rsidR="00C15334" w:rsidRDefault="00C15334" w:rsidP="00C15334">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Revīzijas pakalpojuma sniegšana un zvērināta revidenta ziņojuma ar atzinumu un ziņojuma vadībai par  SIA “</w:t>
      </w:r>
      <w:r w:rsidR="002745FB">
        <w:rPr>
          <w:rFonts w:ascii="Times New Roman" w:hAnsi="Times New Roman" w:cs="Times New Roman"/>
          <w:sz w:val="24"/>
          <w:szCs w:val="24"/>
        </w:rPr>
        <w:t xml:space="preserve">Rēzeknes novada </w:t>
      </w:r>
      <w:proofErr w:type="spellStart"/>
      <w:r w:rsidR="002745FB">
        <w:rPr>
          <w:rFonts w:ascii="Times New Roman" w:hAnsi="Times New Roman" w:cs="Times New Roman"/>
          <w:sz w:val="24"/>
          <w:szCs w:val="24"/>
        </w:rPr>
        <w:t>komunālserviss</w:t>
      </w:r>
      <w:proofErr w:type="spellEnd"/>
      <w:r>
        <w:rPr>
          <w:rFonts w:ascii="Times New Roman" w:hAnsi="Times New Roman" w:cs="Times New Roman"/>
          <w:sz w:val="24"/>
          <w:szCs w:val="24"/>
        </w:rPr>
        <w:t>” 202</w:t>
      </w:r>
      <w:r w:rsidR="002745FB">
        <w:rPr>
          <w:rFonts w:ascii="Times New Roman" w:hAnsi="Times New Roman" w:cs="Times New Roman"/>
          <w:sz w:val="24"/>
          <w:szCs w:val="24"/>
        </w:rPr>
        <w:t>3</w:t>
      </w:r>
      <w:r>
        <w:rPr>
          <w:rFonts w:ascii="Times New Roman" w:hAnsi="Times New Roman" w:cs="Times New Roman"/>
          <w:sz w:val="24"/>
          <w:szCs w:val="24"/>
        </w:rPr>
        <w:t xml:space="preserve">.gada pārskata iesniegšana – kopējā pakalpojuma cena EUR bez PVN. </w:t>
      </w:r>
    </w:p>
    <w:p w14:paraId="20883D22" w14:textId="77777777" w:rsidR="00C15334" w:rsidRDefault="00C15334" w:rsidP="00C15334">
      <w:pPr>
        <w:pStyle w:val="ListParagraph"/>
        <w:rPr>
          <w:rFonts w:ascii="Times New Roman" w:hAnsi="Times New Roman" w:cs="Times New Roman"/>
          <w:sz w:val="24"/>
          <w:szCs w:val="24"/>
        </w:rPr>
      </w:pPr>
    </w:p>
    <w:p w14:paraId="259E04B7" w14:textId="77777777" w:rsidR="00C15334" w:rsidRDefault="00C15334" w:rsidP="00C15334">
      <w:pPr>
        <w:pStyle w:val="ListParagraph"/>
        <w:numPr>
          <w:ilvl w:val="0"/>
          <w:numId w:val="2"/>
        </w:numPr>
        <w:rPr>
          <w:rFonts w:ascii="Times New Roman" w:hAnsi="Times New Roman" w:cs="Times New Roman"/>
          <w:b/>
          <w:bCs/>
          <w:sz w:val="24"/>
          <w:szCs w:val="24"/>
        </w:rPr>
      </w:pPr>
      <w:r>
        <w:rPr>
          <w:rFonts w:ascii="Times New Roman" w:hAnsi="Times New Roman" w:cs="Times New Roman"/>
          <w:b/>
          <w:bCs/>
          <w:sz w:val="24"/>
          <w:szCs w:val="24"/>
        </w:rPr>
        <w:t>Apmaksas noteikumi:</w:t>
      </w:r>
    </w:p>
    <w:p w14:paraId="3A279F45" w14:textId="77777777" w:rsidR="00C15334" w:rsidRDefault="00C15334" w:rsidP="00C15334">
      <w:pPr>
        <w:pStyle w:val="ListParagraph"/>
        <w:ind w:left="1080"/>
        <w:rPr>
          <w:rFonts w:ascii="Times New Roman" w:hAnsi="Times New Roman" w:cs="Times New Roman"/>
          <w:b/>
          <w:bCs/>
          <w:sz w:val="24"/>
          <w:szCs w:val="24"/>
        </w:rPr>
      </w:pPr>
    </w:p>
    <w:p w14:paraId="1D15FC26" w14:textId="77777777" w:rsidR="00C15334" w:rsidRDefault="00C15334" w:rsidP="00C15334">
      <w:pPr>
        <w:pStyle w:val="ListParagraph"/>
        <w:numPr>
          <w:ilvl w:val="0"/>
          <w:numId w:val="4"/>
        </w:numPr>
        <w:tabs>
          <w:tab w:val="left" w:pos="142"/>
        </w:tabs>
        <w:rPr>
          <w:rFonts w:ascii="Times New Roman" w:hAnsi="Times New Roman" w:cs="Times New Roman"/>
          <w:sz w:val="24"/>
          <w:szCs w:val="24"/>
        </w:rPr>
      </w:pPr>
      <w:r>
        <w:rPr>
          <w:rFonts w:ascii="Times New Roman" w:hAnsi="Times New Roman" w:cs="Times New Roman"/>
          <w:sz w:val="24"/>
          <w:szCs w:val="24"/>
        </w:rPr>
        <w:t>Izpildītājs pirms attiecīga gada revīzijas pakalpojuma izpildes uzsākšanas ir tiesīgs saņemt avansa maksājumu 20% apmērā no līguma noteiktās summas.</w:t>
      </w:r>
    </w:p>
    <w:p w14:paraId="6F770EBA" w14:textId="77777777" w:rsidR="00C15334" w:rsidRDefault="00C15334" w:rsidP="00C15334">
      <w:pPr>
        <w:pStyle w:val="ListParagraph"/>
        <w:numPr>
          <w:ilvl w:val="0"/>
          <w:numId w:val="4"/>
        </w:numPr>
        <w:tabs>
          <w:tab w:val="left" w:pos="142"/>
        </w:tabs>
        <w:rPr>
          <w:rFonts w:ascii="Times New Roman" w:hAnsi="Times New Roman" w:cs="Times New Roman"/>
          <w:sz w:val="24"/>
          <w:szCs w:val="24"/>
        </w:rPr>
      </w:pPr>
      <w:r>
        <w:rPr>
          <w:rFonts w:ascii="Times New Roman" w:hAnsi="Times New Roman" w:cs="Times New Roman"/>
          <w:sz w:val="24"/>
          <w:szCs w:val="24"/>
        </w:rPr>
        <w:t>Atlikušo līguma noteikto attiecīgā gada finanšu revīzijas pakalpojuma summu Pasūtītājs samaksā 30 dienu laikā pēc pilnībā izpildīta pakalpojuma nodošanas, ko apliecina pušu parakstīts akts, pamatojoties uz Izpildītāja izsniegtu rēķinu.</w:t>
      </w:r>
    </w:p>
    <w:p w14:paraId="457CD601" w14:textId="77777777" w:rsidR="00C15334" w:rsidRDefault="00C15334" w:rsidP="00C15334">
      <w:pPr>
        <w:pStyle w:val="ListParagraph"/>
        <w:tabs>
          <w:tab w:val="left" w:pos="142"/>
        </w:tabs>
        <w:ind w:left="218"/>
        <w:rPr>
          <w:rFonts w:ascii="Times New Roman" w:hAnsi="Times New Roman" w:cs="Times New Roman"/>
          <w:sz w:val="24"/>
          <w:szCs w:val="24"/>
        </w:rPr>
      </w:pPr>
    </w:p>
    <w:p w14:paraId="612AB582" w14:textId="77777777" w:rsidR="00C15334" w:rsidRDefault="00C15334" w:rsidP="00C15334">
      <w:pPr>
        <w:pStyle w:val="ListParagraph"/>
        <w:numPr>
          <w:ilvl w:val="0"/>
          <w:numId w:val="2"/>
        </w:numPr>
        <w:spacing w:after="0" w:line="240" w:lineRule="auto"/>
        <w:jc w:val="both"/>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 xml:space="preserve">Piedāvājuma izvēles kritēriji. </w:t>
      </w:r>
    </w:p>
    <w:p w14:paraId="3E823191" w14:textId="77777777" w:rsidR="00C15334" w:rsidRDefault="00C15334" w:rsidP="00C15334">
      <w:pPr>
        <w:numPr>
          <w:ilvl w:val="0"/>
          <w:numId w:val="5"/>
        </w:numPr>
        <w:spacing w:before="100" w:beforeAutospacing="1" w:after="100" w:afterAutospacing="1"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Viszemākā kopējā summa EUR (bez PVN).</w:t>
      </w:r>
    </w:p>
    <w:p w14:paraId="23B44C63" w14:textId="77777777" w:rsidR="00C15334" w:rsidRDefault="00C15334" w:rsidP="00C15334">
      <w:pPr>
        <w:numPr>
          <w:ilvl w:val="0"/>
          <w:numId w:val="5"/>
        </w:numPr>
        <w:spacing w:before="100" w:beforeAutospacing="1" w:after="100" w:afterAutospacing="1"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Darbu izpildes termiņš. </w:t>
      </w:r>
    </w:p>
    <w:p w14:paraId="56E33B18" w14:textId="77777777" w:rsidR="00C15334" w:rsidRDefault="00C15334" w:rsidP="00C15334">
      <w:pPr>
        <w:autoSpaceDE w:val="0"/>
        <w:spacing w:before="10" w:line="259" w:lineRule="exact"/>
        <w:jc w:val="both"/>
        <w:rPr>
          <w:rFonts w:ascii="Times New Roman" w:hAnsi="Times New Roman" w:cs="Times New Roman"/>
          <w:sz w:val="24"/>
          <w:szCs w:val="24"/>
          <w:lang w:eastAsia="lv-LV"/>
        </w:rPr>
      </w:pPr>
    </w:p>
    <w:p w14:paraId="665EEC58" w14:textId="77777777" w:rsidR="00C15334" w:rsidRDefault="00C15334" w:rsidP="00C15334">
      <w:pPr>
        <w:rPr>
          <w:rFonts w:ascii="Times New Roman" w:hAnsi="Times New Roman" w:cs="Times New Roman"/>
          <w:sz w:val="24"/>
          <w:szCs w:val="24"/>
        </w:rPr>
      </w:pPr>
      <w:r>
        <w:rPr>
          <w:rFonts w:ascii="Times New Roman" w:hAnsi="Times New Roman" w:cs="Times New Roman"/>
          <w:sz w:val="24"/>
          <w:szCs w:val="24"/>
        </w:rPr>
        <w:t>Sastādīja:</w:t>
      </w:r>
      <w:r>
        <w:rPr>
          <w:rFonts w:ascii="Times New Roman" w:hAnsi="Times New Roman" w:cs="Times New Roman"/>
          <w:sz w:val="24"/>
          <w:szCs w:val="24"/>
        </w:rPr>
        <w:tab/>
      </w:r>
      <w:r>
        <w:rPr>
          <w:rFonts w:ascii="Times New Roman" w:hAnsi="Times New Roman" w:cs="Times New Roman"/>
          <w:sz w:val="24"/>
          <w:szCs w:val="24"/>
        </w:rPr>
        <w:tab/>
        <w:t xml:space="preserve">galvenā grāmatvede </w:t>
      </w:r>
      <w:r>
        <w:rPr>
          <w:rFonts w:ascii="Times New Roman" w:hAnsi="Times New Roman" w:cs="Times New Roman"/>
          <w:sz w:val="24"/>
          <w:szCs w:val="24"/>
        </w:rPr>
        <w:tab/>
      </w:r>
      <w:r>
        <w:rPr>
          <w:rFonts w:ascii="Times New Roman" w:hAnsi="Times New Roman" w:cs="Times New Roman"/>
          <w:sz w:val="24"/>
          <w:szCs w:val="24"/>
        </w:rPr>
        <w:tab/>
        <w:t xml:space="preserve">Alla </w:t>
      </w:r>
      <w:proofErr w:type="spellStart"/>
      <w:r>
        <w:rPr>
          <w:rFonts w:ascii="Times New Roman" w:hAnsi="Times New Roman" w:cs="Times New Roman"/>
          <w:sz w:val="24"/>
          <w:szCs w:val="24"/>
        </w:rPr>
        <w:t>Mogiļnaja</w:t>
      </w:r>
      <w:proofErr w:type="spellEnd"/>
      <w:r>
        <w:rPr>
          <w:rFonts w:ascii="Times New Roman" w:hAnsi="Times New Roman" w:cs="Times New Roman"/>
          <w:sz w:val="24"/>
          <w:szCs w:val="24"/>
        </w:rPr>
        <w:t xml:space="preserve"> </w:t>
      </w:r>
    </w:p>
    <w:p w14:paraId="629DE9FF" w14:textId="77777777" w:rsidR="00C15334" w:rsidRDefault="00C15334" w:rsidP="00C15334">
      <w:pPr>
        <w:rPr>
          <w:rFonts w:ascii="Times New Roman" w:hAnsi="Times New Roman" w:cs="Times New Roman"/>
          <w:sz w:val="24"/>
          <w:szCs w:val="24"/>
        </w:rPr>
      </w:pPr>
    </w:p>
    <w:tbl>
      <w:tblPr>
        <w:tblW w:w="14334" w:type="dxa"/>
        <w:tblInd w:w="-34" w:type="dxa"/>
        <w:tblLook w:val="04A0" w:firstRow="1" w:lastRow="0" w:firstColumn="1" w:lastColumn="0" w:noHBand="0" w:noVBand="1"/>
      </w:tblPr>
      <w:tblGrid>
        <w:gridCol w:w="1280"/>
        <w:gridCol w:w="4464"/>
        <w:gridCol w:w="922"/>
        <w:gridCol w:w="234"/>
        <w:gridCol w:w="4393"/>
        <w:gridCol w:w="1819"/>
        <w:gridCol w:w="1000"/>
        <w:gridCol w:w="222"/>
      </w:tblGrid>
      <w:tr w:rsidR="00C15334" w14:paraId="7C642293" w14:textId="77777777" w:rsidTr="00C15334">
        <w:trPr>
          <w:gridAfter w:val="1"/>
          <w:trHeight w:val="420"/>
        </w:trPr>
        <w:tc>
          <w:tcPr>
            <w:tcW w:w="13112" w:type="dxa"/>
            <w:gridSpan w:val="6"/>
            <w:noWrap/>
            <w:vAlign w:val="bottom"/>
          </w:tcPr>
          <w:p w14:paraId="5F26C968" w14:textId="77777777" w:rsidR="00C15334" w:rsidRDefault="00C15334">
            <w:pPr>
              <w:rPr>
                <w:rFonts w:ascii="Times New Roman" w:eastAsia="Calibri" w:hAnsi="Times New Roman" w:cs="Times New Roman"/>
                <w:sz w:val="24"/>
                <w:szCs w:val="24"/>
                <w:lang w:eastAsia="lv-LV"/>
              </w:rPr>
            </w:pPr>
          </w:p>
        </w:tc>
        <w:tc>
          <w:tcPr>
            <w:tcW w:w="1000" w:type="dxa"/>
            <w:noWrap/>
            <w:vAlign w:val="bottom"/>
            <w:hideMark/>
          </w:tcPr>
          <w:p w14:paraId="6E097897" w14:textId="77777777" w:rsidR="00C15334" w:rsidRDefault="00C15334">
            <w:pPr>
              <w:rPr>
                <w:rFonts w:ascii="Times New Roman" w:eastAsia="Calibri" w:hAnsi="Times New Roman" w:cs="Times New Roman"/>
                <w:sz w:val="24"/>
                <w:szCs w:val="24"/>
                <w:lang w:eastAsia="lv-LV"/>
              </w:rPr>
            </w:pPr>
          </w:p>
        </w:tc>
      </w:tr>
      <w:tr w:rsidR="00C15334" w14:paraId="3760DAC4" w14:textId="77777777" w:rsidTr="00C15334">
        <w:trPr>
          <w:gridAfter w:val="1"/>
          <w:trHeight w:val="255"/>
        </w:trPr>
        <w:tc>
          <w:tcPr>
            <w:tcW w:w="1280" w:type="dxa"/>
            <w:noWrap/>
            <w:vAlign w:val="bottom"/>
            <w:hideMark/>
          </w:tcPr>
          <w:p w14:paraId="288F6CFF" w14:textId="77777777" w:rsidR="00C15334" w:rsidRDefault="00C15334">
            <w:pPr>
              <w:spacing w:after="0" w:line="256" w:lineRule="auto"/>
              <w:rPr>
                <w:sz w:val="20"/>
                <w:szCs w:val="20"/>
                <w:lang w:eastAsia="lv-LV"/>
              </w:rPr>
            </w:pPr>
          </w:p>
        </w:tc>
        <w:tc>
          <w:tcPr>
            <w:tcW w:w="4464" w:type="dxa"/>
            <w:noWrap/>
            <w:vAlign w:val="bottom"/>
            <w:hideMark/>
          </w:tcPr>
          <w:p w14:paraId="21553566" w14:textId="77777777" w:rsidR="00C15334" w:rsidRDefault="00C15334">
            <w:pPr>
              <w:spacing w:after="0" w:line="256" w:lineRule="auto"/>
              <w:rPr>
                <w:sz w:val="20"/>
                <w:szCs w:val="20"/>
                <w:lang w:eastAsia="lv-LV"/>
              </w:rPr>
            </w:pPr>
          </w:p>
        </w:tc>
        <w:tc>
          <w:tcPr>
            <w:tcW w:w="922" w:type="dxa"/>
            <w:noWrap/>
            <w:vAlign w:val="bottom"/>
            <w:hideMark/>
          </w:tcPr>
          <w:p w14:paraId="5CEE5DD3" w14:textId="77777777" w:rsidR="00C15334" w:rsidRDefault="00C15334">
            <w:pPr>
              <w:spacing w:after="0" w:line="256" w:lineRule="auto"/>
              <w:rPr>
                <w:sz w:val="20"/>
                <w:szCs w:val="20"/>
                <w:lang w:eastAsia="lv-LV"/>
              </w:rPr>
            </w:pPr>
          </w:p>
        </w:tc>
        <w:tc>
          <w:tcPr>
            <w:tcW w:w="4627" w:type="dxa"/>
            <w:gridSpan w:val="2"/>
            <w:noWrap/>
            <w:vAlign w:val="bottom"/>
            <w:hideMark/>
          </w:tcPr>
          <w:p w14:paraId="3F924457" w14:textId="77777777" w:rsidR="00C15334" w:rsidRDefault="00C15334">
            <w:pPr>
              <w:spacing w:after="0" w:line="256" w:lineRule="auto"/>
              <w:rPr>
                <w:sz w:val="20"/>
                <w:szCs w:val="20"/>
                <w:lang w:eastAsia="lv-LV"/>
              </w:rPr>
            </w:pPr>
          </w:p>
        </w:tc>
        <w:tc>
          <w:tcPr>
            <w:tcW w:w="1819" w:type="dxa"/>
            <w:noWrap/>
            <w:vAlign w:val="bottom"/>
            <w:hideMark/>
          </w:tcPr>
          <w:p w14:paraId="69548B87" w14:textId="77777777" w:rsidR="00C15334" w:rsidRDefault="00C15334">
            <w:pPr>
              <w:spacing w:after="0" w:line="256" w:lineRule="auto"/>
              <w:rPr>
                <w:sz w:val="20"/>
                <w:szCs w:val="20"/>
                <w:lang w:eastAsia="lv-LV"/>
              </w:rPr>
            </w:pPr>
          </w:p>
        </w:tc>
        <w:tc>
          <w:tcPr>
            <w:tcW w:w="1000" w:type="dxa"/>
            <w:noWrap/>
            <w:vAlign w:val="bottom"/>
            <w:hideMark/>
          </w:tcPr>
          <w:p w14:paraId="6B79B6A5" w14:textId="77777777" w:rsidR="00C15334" w:rsidRDefault="00C15334">
            <w:pPr>
              <w:spacing w:after="0" w:line="256" w:lineRule="auto"/>
              <w:rPr>
                <w:sz w:val="20"/>
                <w:szCs w:val="20"/>
                <w:lang w:eastAsia="lv-LV"/>
              </w:rPr>
            </w:pPr>
          </w:p>
        </w:tc>
      </w:tr>
      <w:tr w:rsidR="00C15334" w14:paraId="00637811" w14:textId="77777777" w:rsidTr="00C15334">
        <w:trPr>
          <w:gridAfter w:val="1"/>
          <w:trHeight w:val="270"/>
        </w:trPr>
        <w:tc>
          <w:tcPr>
            <w:tcW w:w="1280" w:type="dxa"/>
            <w:noWrap/>
            <w:vAlign w:val="bottom"/>
            <w:hideMark/>
          </w:tcPr>
          <w:p w14:paraId="19B570BD" w14:textId="77777777" w:rsidR="00C15334" w:rsidRDefault="00C15334">
            <w:pPr>
              <w:spacing w:after="0" w:line="256" w:lineRule="auto"/>
              <w:rPr>
                <w:sz w:val="20"/>
                <w:szCs w:val="20"/>
                <w:lang w:eastAsia="lv-LV"/>
              </w:rPr>
            </w:pPr>
          </w:p>
        </w:tc>
        <w:tc>
          <w:tcPr>
            <w:tcW w:w="4464" w:type="dxa"/>
            <w:noWrap/>
            <w:vAlign w:val="bottom"/>
            <w:hideMark/>
          </w:tcPr>
          <w:p w14:paraId="60B2CCD6" w14:textId="77777777" w:rsidR="00C15334" w:rsidRDefault="00C15334">
            <w:pPr>
              <w:spacing w:after="0" w:line="256" w:lineRule="auto"/>
              <w:rPr>
                <w:sz w:val="20"/>
                <w:szCs w:val="20"/>
                <w:lang w:eastAsia="lv-LV"/>
              </w:rPr>
            </w:pPr>
          </w:p>
        </w:tc>
        <w:tc>
          <w:tcPr>
            <w:tcW w:w="922" w:type="dxa"/>
            <w:noWrap/>
            <w:vAlign w:val="bottom"/>
            <w:hideMark/>
          </w:tcPr>
          <w:p w14:paraId="46692733" w14:textId="77777777" w:rsidR="00C15334" w:rsidRDefault="00C15334">
            <w:pPr>
              <w:spacing w:after="0" w:line="256" w:lineRule="auto"/>
              <w:rPr>
                <w:sz w:val="20"/>
                <w:szCs w:val="20"/>
                <w:lang w:eastAsia="lv-LV"/>
              </w:rPr>
            </w:pPr>
          </w:p>
        </w:tc>
        <w:tc>
          <w:tcPr>
            <w:tcW w:w="4627" w:type="dxa"/>
            <w:gridSpan w:val="2"/>
            <w:noWrap/>
            <w:vAlign w:val="bottom"/>
            <w:hideMark/>
          </w:tcPr>
          <w:p w14:paraId="4B11BA3A" w14:textId="77777777" w:rsidR="00C15334" w:rsidRDefault="00C15334">
            <w:pPr>
              <w:spacing w:after="0" w:line="256" w:lineRule="auto"/>
              <w:rPr>
                <w:sz w:val="20"/>
                <w:szCs w:val="20"/>
                <w:lang w:eastAsia="lv-LV"/>
              </w:rPr>
            </w:pPr>
          </w:p>
        </w:tc>
        <w:tc>
          <w:tcPr>
            <w:tcW w:w="1819" w:type="dxa"/>
            <w:noWrap/>
            <w:vAlign w:val="bottom"/>
            <w:hideMark/>
          </w:tcPr>
          <w:p w14:paraId="02220FBA" w14:textId="77777777" w:rsidR="00C15334" w:rsidRDefault="00C15334">
            <w:pPr>
              <w:spacing w:after="0" w:line="256" w:lineRule="auto"/>
              <w:rPr>
                <w:sz w:val="20"/>
                <w:szCs w:val="20"/>
                <w:lang w:eastAsia="lv-LV"/>
              </w:rPr>
            </w:pPr>
          </w:p>
        </w:tc>
        <w:tc>
          <w:tcPr>
            <w:tcW w:w="1000" w:type="dxa"/>
            <w:noWrap/>
            <w:vAlign w:val="bottom"/>
            <w:hideMark/>
          </w:tcPr>
          <w:p w14:paraId="6FC1FF13" w14:textId="77777777" w:rsidR="00C15334" w:rsidRDefault="00C15334">
            <w:pPr>
              <w:spacing w:after="0" w:line="256" w:lineRule="auto"/>
              <w:rPr>
                <w:sz w:val="20"/>
                <w:szCs w:val="20"/>
                <w:lang w:eastAsia="lv-LV"/>
              </w:rPr>
            </w:pPr>
          </w:p>
        </w:tc>
      </w:tr>
      <w:tr w:rsidR="00C15334" w14:paraId="0371FD16" w14:textId="77777777" w:rsidTr="00C15334">
        <w:trPr>
          <w:trHeight w:val="255"/>
        </w:trPr>
        <w:tc>
          <w:tcPr>
            <w:tcW w:w="1280" w:type="dxa"/>
            <w:noWrap/>
            <w:vAlign w:val="bottom"/>
            <w:hideMark/>
          </w:tcPr>
          <w:p w14:paraId="0301C779" w14:textId="77777777" w:rsidR="00C15334" w:rsidRDefault="00C15334">
            <w:pPr>
              <w:spacing w:after="0" w:line="256" w:lineRule="auto"/>
              <w:rPr>
                <w:sz w:val="20"/>
                <w:szCs w:val="20"/>
                <w:lang w:eastAsia="lv-LV"/>
              </w:rPr>
            </w:pPr>
          </w:p>
        </w:tc>
        <w:tc>
          <w:tcPr>
            <w:tcW w:w="4464" w:type="dxa"/>
            <w:noWrap/>
            <w:vAlign w:val="bottom"/>
            <w:hideMark/>
          </w:tcPr>
          <w:p w14:paraId="764E0F46" w14:textId="77777777" w:rsidR="00C15334" w:rsidRDefault="00C15334">
            <w:pPr>
              <w:spacing w:after="0" w:line="256" w:lineRule="auto"/>
              <w:rPr>
                <w:sz w:val="20"/>
                <w:szCs w:val="20"/>
                <w:lang w:eastAsia="lv-LV"/>
              </w:rPr>
            </w:pPr>
          </w:p>
        </w:tc>
        <w:tc>
          <w:tcPr>
            <w:tcW w:w="1156" w:type="dxa"/>
            <w:gridSpan w:val="2"/>
            <w:noWrap/>
            <w:vAlign w:val="bottom"/>
            <w:hideMark/>
          </w:tcPr>
          <w:p w14:paraId="2BACDFFD" w14:textId="77777777" w:rsidR="00C15334" w:rsidRDefault="00C15334">
            <w:pPr>
              <w:spacing w:after="0" w:line="256" w:lineRule="auto"/>
              <w:rPr>
                <w:sz w:val="20"/>
                <w:szCs w:val="20"/>
                <w:lang w:eastAsia="lv-LV"/>
              </w:rPr>
            </w:pPr>
          </w:p>
        </w:tc>
        <w:tc>
          <w:tcPr>
            <w:tcW w:w="4393" w:type="dxa"/>
            <w:noWrap/>
            <w:vAlign w:val="bottom"/>
            <w:hideMark/>
          </w:tcPr>
          <w:p w14:paraId="2219B25F" w14:textId="77777777" w:rsidR="00C15334" w:rsidRDefault="00C15334">
            <w:pPr>
              <w:spacing w:after="0" w:line="256" w:lineRule="auto"/>
              <w:rPr>
                <w:sz w:val="20"/>
                <w:szCs w:val="20"/>
                <w:lang w:eastAsia="lv-LV"/>
              </w:rPr>
            </w:pPr>
          </w:p>
        </w:tc>
        <w:tc>
          <w:tcPr>
            <w:tcW w:w="1819" w:type="dxa"/>
            <w:noWrap/>
            <w:vAlign w:val="bottom"/>
            <w:hideMark/>
          </w:tcPr>
          <w:p w14:paraId="4EDCA899" w14:textId="77777777" w:rsidR="00C15334" w:rsidRDefault="00C15334">
            <w:pPr>
              <w:spacing w:after="0" w:line="256" w:lineRule="auto"/>
              <w:rPr>
                <w:sz w:val="20"/>
                <w:szCs w:val="20"/>
                <w:lang w:eastAsia="lv-LV"/>
              </w:rPr>
            </w:pPr>
          </w:p>
        </w:tc>
        <w:tc>
          <w:tcPr>
            <w:tcW w:w="1000" w:type="dxa"/>
            <w:noWrap/>
            <w:vAlign w:val="bottom"/>
            <w:hideMark/>
          </w:tcPr>
          <w:p w14:paraId="023CD75E" w14:textId="77777777" w:rsidR="00C15334" w:rsidRDefault="00C15334">
            <w:pPr>
              <w:spacing w:after="0" w:line="256" w:lineRule="auto"/>
              <w:rPr>
                <w:sz w:val="20"/>
                <w:szCs w:val="20"/>
                <w:lang w:eastAsia="lv-LV"/>
              </w:rPr>
            </w:pPr>
          </w:p>
        </w:tc>
        <w:tc>
          <w:tcPr>
            <w:tcW w:w="0" w:type="auto"/>
            <w:vAlign w:val="center"/>
            <w:hideMark/>
          </w:tcPr>
          <w:p w14:paraId="731EE632" w14:textId="77777777" w:rsidR="00C15334" w:rsidRDefault="00C15334">
            <w:pPr>
              <w:spacing w:after="0" w:line="256" w:lineRule="auto"/>
              <w:rPr>
                <w:sz w:val="20"/>
                <w:szCs w:val="20"/>
                <w:lang w:eastAsia="lv-LV"/>
              </w:rPr>
            </w:pPr>
          </w:p>
        </w:tc>
      </w:tr>
    </w:tbl>
    <w:p w14:paraId="4706F535" w14:textId="77777777" w:rsidR="00C15334" w:rsidRDefault="00C15334" w:rsidP="00C15334">
      <w:pPr>
        <w:rPr>
          <w:rFonts w:ascii="Times New Roman" w:hAnsi="Times New Roman" w:cs="Times New Roman"/>
          <w:sz w:val="24"/>
          <w:szCs w:val="24"/>
        </w:rPr>
      </w:pPr>
    </w:p>
    <w:p w14:paraId="7E1A7F4C" w14:textId="77777777" w:rsidR="00BE7D3D" w:rsidRDefault="00BE7D3D"/>
    <w:sectPr w:rsidR="00BE7D3D" w:rsidSect="00C15334">
      <w:pgSz w:w="11906" w:h="16838"/>
      <w:pgMar w:top="1440" w:right="1133"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DutchTL">
    <w:charset w:val="00"/>
    <w:family w:val="auto"/>
    <w:pitch w:val="default"/>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A7B3A"/>
    <w:multiLevelType w:val="multilevel"/>
    <w:tmpl w:val="536CB73A"/>
    <w:lvl w:ilvl="0">
      <w:start w:val="1"/>
      <w:numFmt w:val="decimal"/>
      <w:lvlText w:val="%1."/>
      <w:lvlJc w:val="left"/>
      <w:pPr>
        <w:tabs>
          <w:tab w:val="num" w:pos="720"/>
        </w:tabs>
        <w:ind w:left="720" w:hanging="360"/>
      </w:pPr>
    </w:lvl>
    <w:lvl w:ilvl="1">
      <w:numFmt w:val="decimal"/>
      <w:lvlText w:val="%2."/>
      <w:lvlJc w:val="left"/>
      <w:pPr>
        <w:tabs>
          <w:tab w:val="num" w:pos="1440"/>
        </w:tabs>
        <w:ind w:left="1440" w:hanging="360"/>
      </w:pPr>
    </w:lvl>
    <w:lvl w:ilvl="2">
      <w:numFmt w:val="decimal"/>
      <w:lvlText w:val="%3."/>
      <w:lvlJc w:val="left"/>
      <w:pPr>
        <w:tabs>
          <w:tab w:val="num" w:pos="2160"/>
        </w:tabs>
        <w:ind w:left="2160" w:hanging="360"/>
      </w:pPr>
    </w:lvl>
    <w:lvl w:ilvl="3">
      <w:numFmt w:val="decimal"/>
      <w:lvlText w:val="%4."/>
      <w:lvlJc w:val="left"/>
      <w:pPr>
        <w:tabs>
          <w:tab w:val="num" w:pos="2880"/>
        </w:tabs>
        <w:ind w:left="2880" w:hanging="360"/>
      </w:pPr>
    </w:lvl>
    <w:lvl w:ilvl="4">
      <w:numFmt w:val="decimal"/>
      <w:lvlText w:val="%5."/>
      <w:lvlJc w:val="left"/>
      <w:pPr>
        <w:tabs>
          <w:tab w:val="num" w:pos="3600"/>
        </w:tabs>
        <w:ind w:left="3600" w:hanging="360"/>
      </w:pPr>
    </w:lvl>
    <w:lvl w:ilvl="5">
      <w:numFmt w:val="decimal"/>
      <w:lvlText w:val="%6."/>
      <w:lvlJc w:val="left"/>
      <w:pPr>
        <w:tabs>
          <w:tab w:val="num" w:pos="4320"/>
        </w:tabs>
        <w:ind w:left="4320" w:hanging="360"/>
      </w:pPr>
    </w:lvl>
    <w:lvl w:ilvl="6">
      <w:numFmt w:val="decimal"/>
      <w:lvlText w:val="%7."/>
      <w:lvlJc w:val="left"/>
      <w:pPr>
        <w:tabs>
          <w:tab w:val="num" w:pos="5040"/>
        </w:tabs>
        <w:ind w:left="5040" w:hanging="360"/>
      </w:pPr>
    </w:lvl>
    <w:lvl w:ilvl="7">
      <w:numFmt w:val="decimal"/>
      <w:lvlText w:val="%8."/>
      <w:lvlJc w:val="left"/>
      <w:pPr>
        <w:tabs>
          <w:tab w:val="num" w:pos="5760"/>
        </w:tabs>
        <w:ind w:left="5760" w:hanging="360"/>
      </w:pPr>
    </w:lvl>
    <w:lvl w:ilvl="8">
      <w:numFmt w:val="decimal"/>
      <w:lvlText w:val="%9."/>
      <w:lvlJc w:val="left"/>
      <w:pPr>
        <w:tabs>
          <w:tab w:val="num" w:pos="6480"/>
        </w:tabs>
        <w:ind w:left="6480" w:hanging="360"/>
      </w:pPr>
    </w:lvl>
  </w:abstractNum>
  <w:abstractNum w:abstractNumId="1" w15:restartNumberingAfterBreak="0">
    <w:nsid w:val="0ECB2434"/>
    <w:multiLevelType w:val="multilevel"/>
    <w:tmpl w:val="16AC31AC"/>
    <w:lvl w:ilvl="0">
      <w:numFmt w:val="bullet"/>
      <w:lvlText w:val="-"/>
      <w:lvlJc w:val="left"/>
      <w:pPr>
        <w:ind w:left="1353" w:hanging="360"/>
      </w:pPr>
      <w:rPr>
        <w:rFonts w:ascii="Times New Roman" w:eastAsia="Times New Roman" w:hAnsi="Times New Roman" w:cs="Times New Roman"/>
      </w:rPr>
    </w:lvl>
    <w:lvl w:ilvl="1">
      <w:numFmt w:val="bullet"/>
      <w:lvlText w:val="o"/>
      <w:lvlJc w:val="left"/>
      <w:pPr>
        <w:ind w:left="1800" w:hanging="360"/>
      </w:pPr>
      <w:rPr>
        <w:rFonts w:ascii="Courier New" w:hAnsi="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rPr>
    </w:lvl>
    <w:lvl w:ilvl="8">
      <w:numFmt w:val="bullet"/>
      <w:lvlText w:val=""/>
      <w:lvlJc w:val="left"/>
      <w:pPr>
        <w:ind w:left="6840" w:hanging="360"/>
      </w:pPr>
      <w:rPr>
        <w:rFonts w:ascii="Wingdings" w:hAnsi="Wingdings"/>
      </w:rPr>
    </w:lvl>
  </w:abstractNum>
  <w:abstractNum w:abstractNumId="2" w15:restartNumberingAfterBreak="0">
    <w:nsid w:val="34C229C4"/>
    <w:multiLevelType w:val="hybridMultilevel"/>
    <w:tmpl w:val="E39C76EA"/>
    <w:lvl w:ilvl="0" w:tplc="00DAF2DE">
      <w:start w:val="1"/>
      <w:numFmt w:val="decimal"/>
      <w:lvlText w:val="%1."/>
      <w:lvlJc w:val="left"/>
      <w:pPr>
        <w:ind w:left="218" w:hanging="360"/>
      </w:pPr>
    </w:lvl>
    <w:lvl w:ilvl="1" w:tplc="04260019">
      <w:start w:val="1"/>
      <w:numFmt w:val="lowerLetter"/>
      <w:lvlText w:val="%2."/>
      <w:lvlJc w:val="left"/>
      <w:pPr>
        <w:ind w:left="938" w:hanging="360"/>
      </w:pPr>
    </w:lvl>
    <w:lvl w:ilvl="2" w:tplc="0426001B">
      <w:start w:val="1"/>
      <w:numFmt w:val="lowerRoman"/>
      <w:lvlText w:val="%3."/>
      <w:lvlJc w:val="right"/>
      <w:pPr>
        <w:ind w:left="1658" w:hanging="180"/>
      </w:pPr>
    </w:lvl>
    <w:lvl w:ilvl="3" w:tplc="0426000F">
      <w:start w:val="1"/>
      <w:numFmt w:val="decimal"/>
      <w:lvlText w:val="%4."/>
      <w:lvlJc w:val="left"/>
      <w:pPr>
        <w:ind w:left="2378" w:hanging="360"/>
      </w:pPr>
    </w:lvl>
    <w:lvl w:ilvl="4" w:tplc="04260019">
      <w:start w:val="1"/>
      <w:numFmt w:val="lowerLetter"/>
      <w:lvlText w:val="%5."/>
      <w:lvlJc w:val="left"/>
      <w:pPr>
        <w:ind w:left="3098" w:hanging="360"/>
      </w:pPr>
    </w:lvl>
    <w:lvl w:ilvl="5" w:tplc="0426001B">
      <w:start w:val="1"/>
      <w:numFmt w:val="lowerRoman"/>
      <w:lvlText w:val="%6."/>
      <w:lvlJc w:val="right"/>
      <w:pPr>
        <w:ind w:left="3818" w:hanging="180"/>
      </w:pPr>
    </w:lvl>
    <w:lvl w:ilvl="6" w:tplc="0426000F">
      <w:start w:val="1"/>
      <w:numFmt w:val="decimal"/>
      <w:lvlText w:val="%7."/>
      <w:lvlJc w:val="left"/>
      <w:pPr>
        <w:ind w:left="4538" w:hanging="360"/>
      </w:pPr>
    </w:lvl>
    <w:lvl w:ilvl="7" w:tplc="04260019">
      <w:start w:val="1"/>
      <w:numFmt w:val="lowerLetter"/>
      <w:lvlText w:val="%8."/>
      <w:lvlJc w:val="left"/>
      <w:pPr>
        <w:ind w:left="5258" w:hanging="360"/>
      </w:pPr>
    </w:lvl>
    <w:lvl w:ilvl="8" w:tplc="0426001B">
      <w:start w:val="1"/>
      <w:numFmt w:val="lowerRoman"/>
      <w:lvlText w:val="%9."/>
      <w:lvlJc w:val="right"/>
      <w:pPr>
        <w:ind w:left="5978" w:hanging="180"/>
      </w:pPr>
    </w:lvl>
  </w:abstractNum>
  <w:abstractNum w:abstractNumId="3" w15:restartNumberingAfterBreak="0">
    <w:nsid w:val="4D92188E"/>
    <w:multiLevelType w:val="hybridMultilevel"/>
    <w:tmpl w:val="6DEA460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15:restartNumberingAfterBreak="0">
    <w:nsid w:val="6C582DA1"/>
    <w:multiLevelType w:val="hybridMultilevel"/>
    <w:tmpl w:val="3084C31E"/>
    <w:lvl w:ilvl="0" w:tplc="A4E685B6">
      <w:start w:val="4"/>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num w:numId="1" w16cid:durableId="1146775651">
    <w:abstractNumId w:val="1"/>
  </w:num>
  <w:num w:numId="2" w16cid:durableId="167793413">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012994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265640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47567485">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375"/>
    <w:rsid w:val="002745FB"/>
    <w:rsid w:val="0049653F"/>
    <w:rsid w:val="00916375"/>
    <w:rsid w:val="00BE6EC2"/>
    <w:rsid w:val="00BE7D3D"/>
    <w:rsid w:val="00C15334"/>
    <w:rsid w:val="00DC2402"/>
    <w:rsid w:val="00DC3DA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B8FC4"/>
  <w15:chartTrackingRefBased/>
  <w15:docId w15:val="{2E73ED7A-882B-4C16-96AA-7CA7EBE03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5334"/>
    <w:pPr>
      <w:spacing w:line="254"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5334"/>
    <w:rPr>
      <w:color w:val="0000FF"/>
      <w:u w:val="single"/>
    </w:rPr>
  </w:style>
  <w:style w:type="paragraph" w:styleId="ListParagraph">
    <w:name w:val="List Paragraph"/>
    <w:basedOn w:val="Normal"/>
    <w:uiPriority w:val="34"/>
    <w:qFormat/>
    <w:rsid w:val="00C15334"/>
    <w:pPr>
      <w:ind w:left="720"/>
      <w:contextualSpacing/>
    </w:pPr>
  </w:style>
  <w:style w:type="character" w:styleId="UnresolvedMention">
    <w:name w:val="Unresolved Mention"/>
    <w:basedOn w:val="DefaultParagraphFont"/>
    <w:uiPriority w:val="99"/>
    <w:semiHidden/>
    <w:unhideWhenUsed/>
    <w:rsid w:val="002745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3158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nk@rnk.lv" TargetMode="External"/><Relationship Id="rId5" Type="http://schemas.openxmlformats.org/officeDocument/2006/relationships/hyperlink" Target="http://likumi.lv/ta/id/147385-konsolideto-gada-parskatu-likum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3654</Words>
  <Characters>2084</Characters>
  <Application>Microsoft Office Word</Application>
  <DocSecurity>0</DocSecurity>
  <Lines>17</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Darbinieks</dc:creator>
  <cp:keywords/>
  <dc:description/>
  <cp:lastModifiedBy>Darbinieks</cp:lastModifiedBy>
  <cp:revision>5</cp:revision>
  <dcterms:created xsi:type="dcterms:W3CDTF">2024-01-02T13:38:00Z</dcterms:created>
  <dcterms:modified xsi:type="dcterms:W3CDTF">2024-01-09T11:21:00Z</dcterms:modified>
</cp:coreProperties>
</file>